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805A" w14:textId="5C507114" w:rsidR="004A63F0" w:rsidRPr="006B171D" w:rsidRDefault="006B171D" w:rsidP="006B171D">
      <w:pPr>
        <w:jc w:val="center"/>
        <w:rPr>
          <w:rFonts w:ascii="Times New Roman" w:hAnsi="Times New Roman" w:cs="Times New Roman"/>
          <w:b/>
          <w:bCs/>
          <w:sz w:val="28"/>
          <w:szCs w:val="28"/>
        </w:rPr>
      </w:pPr>
      <w:r w:rsidRPr="006B171D">
        <w:rPr>
          <w:rFonts w:ascii="Times New Roman" w:hAnsi="Times New Roman" w:cs="Times New Roman"/>
          <w:b/>
          <w:bCs/>
          <w:sz w:val="28"/>
          <w:szCs w:val="28"/>
        </w:rPr>
        <w:t>Фінансово-економічне обґрунтування до прогнозу бюджету Музиківської сільської територіальної громади на 2026-2028 роки</w:t>
      </w:r>
    </w:p>
    <w:p w14:paraId="0D5602AA" w14:textId="77777777" w:rsidR="006B171D" w:rsidRDefault="006B171D" w:rsidP="006B171D">
      <w:pPr>
        <w:ind w:firstLine="708"/>
        <w:jc w:val="both"/>
        <w:rPr>
          <w:rFonts w:ascii="Times New Roman" w:eastAsia="SimSun" w:hAnsi="Times New Roman" w:cs="Times New Roman"/>
          <w:color w:val="000000"/>
          <w:sz w:val="28"/>
          <w:szCs w:val="28"/>
          <w:lang w:eastAsia="zh-CN" w:bidi="ar"/>
        </w:rPr>
      </w:pPr>
      <w:r w:rsidRPr="006B171D">
        <w:rPr>
          <w:rFonts w:ascii="Times New Roman" w:hAnsi="Times New Roman" w:cs="Times New Roman"/>
          <w:sz w:val="28"/>
          <w:szCs w:val="28"/>
        </w:rPr>
        <w:t xml:space="preserve">Прогноз бюджету Музиківської сільської територіальної громади </w:t>
      </w:r>
      <w:r w:rsidRPr="006B171D">
        <w:rPr>
          <w:rFonts w:ascii="Times New Roman" w:eastAsia="SimSun" w:hAnsi="Times New Roman" w:cs="Times New Roman"/>
          <w:color w:val="000000"/>
          <w:sz w:val="28"/>
          <w:szCs w:val="28"/>
          <w:lang w:val="en-US" w:eastAsia="zh-CN" w:bidi="ar"/>
        </w:rPr>
        <w:t>на 2026-2028</w:t>
      </w:r>
      <w:r w:rsidRPr="006B171D">
        <w:rPr>
          <w:rFonts w:ascii="Times New Roman" w:eastAsia="SimSun" w:hAnsi="Times New Roman" w:cs="Times New Roman"/>
          <w:color w:val="000000"/>
          <w:sz w:val="28"/>
          <w:szCs w:val="28"/>
          <w:lang w:eastAsia="zh-CN" w:bidi="ar"/>
        </w:rPr>
        <w:t xml:space="preserve"> </w:t>
      </w:r>
      <w:r w:rsidRPr="006B171D">
        <w:rPr>
          <w:rFonts w:ascii="Times New Roman" w:eastAsia="SimSun" w:hAnsi="Times New Roman" w:cs="Times New Roman"/>
          <w:color w:val="000000"/>
          <w:sz w:val="28"/>
          <w:szCs w:val="28"/>
          <w:lang w:val="en-US" w:eastAsia="zh-CN" w:bidi="ar"/>
        </w:rPr>
        <w:t>роки (далі – Прогноз бюджету) розроблено відповідно до статті 75ˡ Бюджетного</w:t>
      </w:r>
      <w:r w:rsidRPr="006B171D">
        <w:rPr>
          <w:rFonts w:ascii="Times New Roman" w:eastAsia="SimSun" w:hAnsi="Times New Roman" w:cs="Times New Roman"/>
          <w:color w:val="000000"/>
          <w:sz w:val="28"/>
          <w:szCs w:val="28"/>
          <w:lang w:eastAsia="zh-CN" w:bidi="ar"/>
        </w:rPr>
        <w:t xml:space="preserve"> </w:t>
      </w:r>
      <w:r w:rsidRPr="006B171D">
        <w:rPr>
          <w:rFonts w:ascii="Times New Roman" w:eastAsia="SimSun" w:hAnsi="Times New Roman" w:cs="Times New Roman"/>
          <w:color w:val="000000"/>
          <w:sz w:val="28"/>
          <w:szCs w:val="28"/>
          <w:lang w:val="en-US" w:eastAsia="zh-CN" w:bidi="ar"/>
        </w:rPr>
        <w:t xml:space="preserve">кодексу України, </w:t>
      </w:r>
      <w:r w:rsidRPr="006B171D">
        <w:rPr>
          <w:rFonts w:ascii="Times New Roman" w:eastAsia="SimSun" w:hAnsi="Times New Roman" w:cs="Times New Roman"/>
          <w:color w:val="000000" w:themeColor="text1"/>
          <w:sz w:val="28"/>
          <w:szCs w:val="28"/>
          <w:lang w:val="en-US" w:eastAsia="zh-CN" w:bidi="ar"/>
        </w:rPr>
        <w:t xml:space="preserve">керуючись підпунктом 1 пункту </w:t>
      </w:r>
      <w:r w:rsidRPr="006B171D">
        <w:rPr>
          <w:rFonts w:ascii="Times New Roman" w:eastAsia="SimSun" w:hAnsi="Times New Roman" w:cs="Times New Roman"/>
          <w:color w:val="000000" w:themeColor="text1"/>
          <w:sz w:val="28"/>
          <w:szCs w:val="28"/>
          <w:lang w:eastAsia="zh-CN" w:bidi="ar"/>
        </w:rPr>
        <w:t>«</w:t>
      </w:r>
      <w:r w:rsidRPr="006B171D">
        <w:rPr>
          <w:rFonts w:ascii="Times New Roman" w:eastAsia="SimSun" w:hAnsi="Times New Roman" w:cs="Times New Roman"/>
          <w:color w:val="000000" w:themeColor="text1"/>
          <w:sz w:val="28"/>
          <w:szCs w:val="28"/>
          <w:lang w:val="en-US" w:eastAsia="zh-CN" w:bidi="ar"/>
        </w:rPr>
        <w:t>а</w:t>
      </w:r>
      <w:r w:rsidRPr="006B171D">
        <w:rPr>
          <w:rFonts w:ascii="Times New Roman" w:eastAsia="SimSun" w:hAnsi="Times New Roman" w:cs="Times New Roman"/>
          <w:color w:val="000000" w:themeColor="text1"/>
          <w:sz w:val="28"/>
          <w:szCs w:val="28"/>
          <w:lang w:eastAsia="zh-CN" w:bidi="ar"/>
        </w:rPr>
        <w:t>»</w:t>
      </w:r>
      <w:r w:rsidRPr="006B171D">
        <w:rPr>
          <w:rFonts w:ascii="Times New Roman" w:eastAsia="SimSun" w:hAnsi="Times New Roman" w:cs="Times New Roman"/>
          <w:color w:val="000000" w:themeColor="text1"/>
          <w:sz w:val="28"/>
          <w:szCs w:val="28"/>
          <w:lang w:val="en-US" w:eastAsia="zh-CN" w:bidi="ar"/>
        </w:rPr>
        <w:t xml:space="preserve"> статті 28 Закону України </w:t>
      </w:r>
      <w:r w:rsidRPr="006B171D">
        <w:rPr>
          <w:rFonts w:ascii="Times New Roman" w:eastAsia="SimSun" w:hAnsi="Times New Roman" w:cs="Times New Roman"/>
          <w:color w:val="000000" w:themeColor="text1"/>
          <w:sz w:val="28"/>
          <w:szCs w:val="28"/>
          <w:lang w:eastAsia="zh-CN" w:bidi="ar"/>
        </w:rPr>
        <w:t>«</w:t>
      </w:r>
      <w:r w:rsidRPr="006B171D">
        <w:rPr>
          <w:rFonts w:ascii="Times New Roman" w:eastAsia="SimSun" w:hAnsi="Times New Roman" w:cs="Times New Roman"/>
          <w:color w:val="000000" w:themeColor="text1"/>
          <w:sz w:val="28"/>
          <w:szCs w:val="28"/>
          <w:lang w:val="en-US" w:eastAsia="zh-CN" w:bidi="ar"/>
        </w:rPr>
        <w:t>Про місцеве самоврядування в Україні</w:t>
      </w:r>
      <w:r w:rsidRPr="006B171D">
        <w:rPr>
          <w:rFonts w:ascii="Times New Roman" w:eastAsia="SimSun" w:hAnsi="Times New Roman" w:cs="Times New Roman"/>
          <w:color w:val="000000" w:themeColor="text1"/>
          <w:sz w:val="28"/>
          <w:szCs w:val="28"/>
          <w:lang w:eastAsia="zh-CN" w:bidi="ar"/>
        </w:rPr>
        <w:t>»</w:t>
      </w:r>
      <w:r w:rsidRPr="006B171D">
        <w:rPr>
          <w:rFonts w:ascii="Times New Roman" w:eastAsia="SimSun" w:hAnsi="Times New Roman" w:cs="Times New Roman"/>
          <w:color w:val="000000"/>
          <w:sz w:val="28"/>
          <w:szCs w:val="28"/>
          <w:lang w:val="en-US" w:eastAsia="zh-CN" w:bidi="ar"/>
        </w:rPr>
        <w:t xml:space="preserve">, постанови Кабінету Міністрів України від 27 червня 2025 року № 774 </w:t>
      </w:r>
      <w:r w:rsidRPr="006B171D">
        <w:rPr>
          <w:rFonts w:ascii="Times New Roman" w:eastAsia="SimSun" w:hAnsi="Times New Roman" w:cs="Times New Roman"/>
          <w:color w:val="000000"/>
          <w:sz w:val="28"/>
          <w:szCs w:val="28"/>
          <w:lang w:eastAsia="zh-CN" w:bidi="ar"/>
        </w:rPr>
        <w:t>«</w:t>
      </w:r>
      <w:r w:rsidRPr="006B171D">
        <w:rPr>
          <w:rFonts w:ascii="Times New Roman" w:eastAsia="SimSun" w:hAnsi="Times New Roman" w:cs="Times New Roman"/>
          <w:color w:val="000000"/>
          <w:sz w:val="28"/>
          <w:szCs w:val="28"/>
          <w:lang w:val="en-US" w:eastAsia="zh-CN" w:bidi="ar"/>
        </w:rPr>
        <w:t>Про схвалення Бюджетної декларації на 2026-2028 роки</w:t>
      </w:r>
      <w:r w:rsidRPr="006B171D">
        <w:rPr>
          <w:rFonts w:ascii="Times New Roman" w:eastAsia="SimSun" w:hAnsi="Times New Roman" w:cs="Times New Roman"/>
          <w:color w:val="000000"/>
          <w:sz w:val="28"/>
          <w:szCs w:val="28"/>
          <w:lang w:eastAsia="zh-CN" w:bidi="ar"/>
        </w:rPr>
        <w:t>»</w:t>
      </w:r>
      <w:r w:rsidRPr="006B171D">
        <w:rPr>
          <w:rFonts w:ascii="Times New Roman" w:eastAsia="SimSun" w:hAnsi="Times New Roman" w:cs="Times New Roman"/>
          <w:color w:val="000000"/>
          <w:sz w:val="28"/>
          <w:szCs w:val="28"/>
          <w:lang w:val="en-US" w:eastAsia="zh-CN" w:bidi="ar"/>
        </w:rPr>
        <w:t xml:space="preserve">, наказу Міністерства фінансів України від 02 червня 2021 року № 314 </w:t>
      </w:r>
      <w:r w:rsidRPr="006B171D">
        <w:rPr>
          <w:rFonts w:ascii="Times New Roman" w:eastAsia="SimSun" w:hAnsi="Times New Roman" w:cs="Times New Roman"/>
          <w:color w:val="000000"/>
          <w:sz w:val="28"/>
          <w:szCs w:val="28"/>
          <w:lang w:eastAsia="zh-CN" w:bidi="ar"/>
        </w:rPr>
        <w:t>«</w:t>
      </w:r>
      <w:r w:rsidRPr="006B171D">
        <w:rPr>
          <w:rFonts w:ascii="Times New Roman" w:eastAsia="SimSun" w:hAnsi="Times New Roman" w:cs="Times New Roman"/>
          <w:color w:val="000000"/>
          <w:sz w:val="28"/>
          <w:szCs w:val="28"/>
          <w:lang w:val="en-US" w:eastAsia="zh-CN" w:bidi="ar"/>
        </w:rPr>
        <w:t>Про затвердження Типової форми прогнозу місцевого бюджету та Інструкції щодо його складання</w:t>
      </w:r>
      <w:r w:rsidRPr="006B171D">
        <w:rPr>
          <w:rFonts w:ascii="Times New Roman" w:eastAsia="SimSun" w:hAnsi="Times New Roman" w:cs="Times New Roman"/>
          <w:color w:val="000000"/>
          <w:sz w:val="28"/>
          <w:szCs w:val="28"/>
          <w:lang w:eastAsia="zh-CN" w:bidi="ar"/>
        </w:rPr>
        <w:t>»</w:t>
      </w:r>
      <w:r w:rsidRPr="006B171D">
        <w:rPr>
          <w:rFonts w:ascii="Times New Roman" w:eastAsia="SimSun" w:hAnsi="Times New Roman" w:cs="Times New Roman"/>
          <w:color w:val="000000"/>
          <w:sz w:val="28"/>
          <w:szCs w:val="28"/>
          <w:lang w:val="en-US" w:eastAsia="zh-CN" w:bidi="ar"/>
        </w:rPr>
        <w:t xml:space="preserve"> (змінами та доповненнями), листа Міністерства фінансів України від 09 липня 2025 року № 05120-08-6/19235 </w:t>
      </w:r>
      <w:r w:rsidRPr="006B171D">
        <w:rPr>
          <w:rFonts w:ascii="Times New Roman" w:eastAsia="SimSun" w:hAnsi="Times New Roman" w:cs="Times New Roman"/>
          <w:color w:val="000000"/>
          <w:sz w:val="28"/>
          <w:szCs w:val="28"/>
          <w:lang w:eastAsia="zh-CN" w:bidi="ar"/>
        </w:rPr>
        <w:t>«</w:t>
      </w:r>
      <w:r w:rsidRPr="006B171D">
        <w:rPr>
          <w:rFonts w:ascii="Times New Roman" w:eastAsia="SimSun" w:hAnsi="Times New Roman" w:cs="Times New Roman"/>
          <w:color w:val="000000"/>
          <w:sz w:val="28"/>
          <w:szCs w:val="28"/>
          <w:lang w:val="en-US" w:eastAsia="zh-CN" w:bidi="ar"/>
        </w:rPr>
        <w:t>Щодо особливостей середньострокового бюджетного планування та складання розрахунків до прогнозів місцевих бюджетів</w:t>
      </w:r>
      <w:r w:rsidRPr="006B171D">
        <w:rPr>
          <w:rFonts w:ascii="Times New Roman" w:eastAsia="SimSun" w:hAnsi="Times New Roman" w:cs="Times New Roman"/>
          <w:color w:val="000000"/>
          <w:sz w:val="28"/>
          <w:szCs w:val="28"/>
          <w:lang w:eastAsia="zh-CN" w:bidi="ar"/>
        </w:rPr>
        <w:t>»</w:t>
      </w:r>
      <w:r w:rsidRPr="006B171D">
        <w:rPr>
          <w:rFonts w:ascii="Times New Roman" w:eastAsia="SimSun" w:hAnsi="Times New Roman" w:cs="Times New Roman"/>
          <w:color w:val="000000"/>
          <w:sz w:val="28"/>
          <w:szCs w:val="28"/>
          <w:lang w:val="en-US" w:eastAsia="zh-CN" w:bidi="ar"/>
        </w:rPr>
        <w:t>,</w:t>
      </w:r>
      <w:r w:rsidRPr="006B171D">
        <w:rPr>
          <w:rFonts w:ascii="Times New Roman" w:eastAsia="SimSun" w:hAnsi="Times New Roman" w:cs="Times New Roman"/>
          <w:color w:val="000000"/>
          <w:sz w:val="28"/>
          <w:szCs w:val="28"/>
          <w:lang w:eastAsia="zh-CN" w:bidi="ar"/>
        </w:rPr>
        <w:t xml:space="preserve"> </w:t>
      </w:r>
      <w:r w:rsidRPr="006B171D">
        <w:rPr>
          <w:rFonts w:ascii="Times New Roman" w:eastAsia="SimSun" w:hAnsi="Times New Roman" w:cs="Times New Roman"/>
          <w:color w:val="000000"/>
          <w:sz w:val="28"/>
          <w:szCs w:val="28"/>
          <w:lang w:val="en-US" w:eastAsia="zh-CN" w:bidi="ar"/>
        </w:rPr>
        <w:t xml:space="preserve">програмних документів економічного і соціального розвитку </w:t>
      </w:r>
      <w:r w:rsidRPr="006B171D">
        <w:rPr>
          <w:rFonts w:ascii="Times New Roman" w:eastAsia="SimSun" w:hAnsi="Times New Roman" w:cs="Times New Roman"/>
          <w:color w:val="000000"/>
          <w:sz w:val="28"/>
          <w:szCs w:val="28"/>
          <w:lang w:eastAsia="zh-CN" w:bidi="ar"/>
        </w:rPr>
        <w:t>Музиківської</w:t>
      </w:r>
      <w:r w:rsidRPr="006B171D">
        <w:rPr>
          <w:rFonts w:ascii="Times New Roman" w:eastAsia="SimSun" w:hAnsi="Times New Roman" w:cs="Times New Roman"/>
          <w:color w:val="000000"/>
          <w:sz w:val="28"/>
          <w:szCs w:val="28"/>
          <w:lang w:val="en-US" w:eastAsia="zh-CN" w:bidi="ar"/>
        </w:rPr>
        <w:t xml:space="preserve"> </w:t>
      </w:r>
      <w:r w:rsidRPr="006B171D">
        <w:rPr>
          <w:rFonts w:ascii="Times New Roman" w:eastAsia="SimSun" w:hAnsi="Times New Roman" w:cs="Times New Roman"/>
          <w:color w:val="000000"/>
          <w:sz w:val="28"/>
          <w:szCs w:val="28"/>
          <w:lang w:eastAsia="zh-CN" w:bidi="ar"/>
        </w:rPr>
        <w:t>сільської те</w:t>
      </w:r>
      <w:r w:rsidRPr="006B171D">
        <w:rPr>
          <w:rFonts w:ascii="Times New Roman" w:eastAsia="SimSun" w:hAnsi="Times New Roman" w:cs="Times New Roman"/>
          <w:color w:val="000000"/>
          <w:sz w:val="28"/>
          <w:szCs w:val="28"/>
          <w:lang w:val="en-US" w:eastAsia="zh-CN" w:bidi="ar"/>
        </w:rPr>
        <w:t xml:space="preserve">риторіальної громади, регіональних та місцевих цільових програм. </w:t>
      </w:r>
    </w:p>
    <w:p w14:paraId="4D2814CE" w14:textId="53600F64" w:rsidR="006B171D" w:rsidRDefault="006B171D" w:rsidP="006B171D">
      <w:pPr>
        <w:ind w:firstLine="708"/>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Прогноз бюджету на 2026-2028 роки включає прогнозні показники бюджету громади за основними видами доходів, фінансування, видатків і кредитування, міжбюджетних трансфертів.</w:t>
      </w:r>
    </w:p>
    <w:p w14:paraId="46ECC261" w14:textId="77777777" w:rsidR="006B171D" w:rsidRDefault="006B171D" w:rsidP="006B171D">
      <w:pPr>
        <w:ind w:firstLine="708"/>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Прогнозні показники збалансовані за надходженнями та витратами і визначені з урахуванням показників, ща на даний час відображають більш вірогідний сценарій розвитку економіки з урахуванням поточної економічної ситуації, а також враховувались показники визначені Бюджетною декларацією на 2026-2028 роки.</w:t>
      </w:r>
    </w:p>
    <w:p w14:paraId="2A783104" w14:textId="4963DCFD" w:rsidR="006B171D" w:rsidRDefault="006B171D" w:rsidP="006B171D">
      <w:pPr>
        <w:ind w:firstLine="708"/>
        <w:jc w:val="center"/>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Загальні показники прогнозу</w:t>
      </w:r>
    </w:p>
    <w:p w14:paraId="498A65A3" w14:textId="3B753601" w:rsidR="006677CE" w:rsidRDefault="006677CE" w:rsidP="006677CE">
      <w:pPr>
        <w:ind w:firstLine="708"/>
        <w:jc w:val="right"/>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млн.грн</w:t>
      </w:r>
    </w:p>
    <w:tbl>
      <w:tblPr>
        <w:tblStyle w:val="ae"/>
        <w:tblW w:w="0" w:type="auto"/>
        <w:tblLook w:val="04A0" w:firstRow="1" w:lastRow="0" w:firstColumn="1" w:lastColumn="0" w:noHBand="0" w:noVBand="1"/>
      </w:tblPr>
      <w:tblGrid>
        <w:gridCol w:w="1749"/>
        <w:gridCol w:w="1223"/>
        <w:gridCol w:w="1403"/>
        <w:gridCol w:w="1224"/>
        <w:gridCol w:w="1403"/>
        <w:gridCol w:w="1224"/>
        <w:gridCol w:w="1403"/>
      </w:tblGrid>
      <w:tr w:rsidR="00B22B26" w14:paraId="54255376" w14:textId="77777777" w:rsidTr="006B171D">
        <w:tc>
          <w:tcPr>
            <w:tcW w:w="1749" w:type="dxa"/>
          </w:tcPr>
          <w:p w14:paraId="6BE80593" w14:textId="0812E68D" w:rsidR="006B171D" w:rsidRPr="00B22B26" w:rsidRDefault="006B171D"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Показники</w:t>
            </w:r>
          </w:p>
        </w:tc>
        <w:tc>
          <w:tcPr>
            <w:tcW w:w="1223" w:type="dxa"/>
          </w:tcPr>
          <w:p w14:paraId="3F2AD169" w14:textId="7D117B34" w:rsidR="006B171D" w:rsidRPr="00B22B26" w:rsidRDefault="006B171D"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2026 рік</w:t>
            </w:r>
          </w:p>
        </w:tc>
        <w:tc>
          <w:tcPr>
            <w:tcW w:w="1403" w:type="dxa"/>
          </w:tcPr>
          <w:p w14:paraId="68B09078" w14:textId="5ABF08F1" w:rsidR="006B171D" w:rsidRPr="00B22B26" w:rsidRDefault="006B171D"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 до плану попередн. року</w:t>
            </w:r>
          </w:p>
        </w:tc>
        <w:tc>
          <w:tcPr>
            <w:tcW w:w="1224" w:type="dxa"/>
          </w:tcPr>
          <w:p w14:paraId="6B3C7139" w14:textId="77777777" w:rsidR="006B171D" w:rsidRPr="00B22B26" w:rsidRDefault="006B171D"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2027 рік</w:t>
            </w:r>
          </w:p>
          <w:p w14:paraId="58A337F0" w14:textId="298945E5" w:rsidR="006B171D" w:rsidRPr="00B22B26" w:rsidRDefault="006B171D" w:rsidP="006B171D">
            <w:pPr>
              <w:jc w:val="center"/>
              <w:rPr>
                <w:rFonts w:ascii="Times New Roman" w:hAnsi="Times New Roman" w:cs="Times New Roman"/>
                <w:b/>
                <w:bCs/>
                <w:sz w:val="24"/>
                <w:szCs w:val="24"/>
              </w:rPr>
            </w:pPr>
          </w:p>
        </w:tc>
        <w:tc>
          <w:tcPr>
            <w:tcW w:w="1403" w:type="dxa"/>
          </w:tcPr>
          <w:p w14:paraId="08A5E50E" w14:textId="42A616BE" w:rsidR="006B171D" w:rsidRPr="00B22B26" w:rsidRDefault="006B171D"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 до плану попередн. року</w:t>
            </w:r>
          </w:p>
        </w:tc>
        <w:tc>
          <w:tcPr>
            <w:tcW w:w="1224" w:type="dxa"/>
          </w:tcPr>
          <w:p w14:paraId="5F510F05" w14:textId="7251DC31" w:rsidR="006B171D" w:rsidRPr="00B22B26" w:rsidRDefault="006B171D"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2028 рік</w:t>
            </w:r>
          </w:p>
        </w:tc>
        <w:tc>
          <w:tcPr>
            <w:tcW w:w="1403" w:type="dxa"/>
          </w:tcPr>
          <w:p w14:paraId="43BA10DA" w14:textId="49794AF9" w:rsidR="006B171D" w:rsidRPr="00B22B26" w:rsidRDefault="006B171D"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 до плану попередн. року</w:t>
            </w:r>
          </w:p>
        </w:tc>
      </w:tr>
      <w:tr w:rsidR="00B22B26" w14:paraId="00C6FD69" w14:textId="77777777" w:rsidTr="006B171D">
        <w:tc>
          <w:tcPr>
            <w:tcW w:w="1749" w:type="dxa"/>
          </w:tcPr>
          <w:p w14:paraId="36FFAEA8" w14:textId="36FA4AB5" w:rsidR="006B171D" w:rsidRPr="00B22B26" w:rsidRDefault="006B171D"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Доходи</w:t>
            </w:r>
          </w:p>
        </w:tc>
        <w:tc>
          <w:tcPr>
            <w:tcW w:w="1223" w:type="dxa"/>
          </w:tcPr>
          <w:p w14:paraId="09DC463D" w14:textId="036F7638" w:rsidR="006B171D" w:rsidRPr="00B22B26" w:rsidRDefault="00031919"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56, 99</w:t>
            </w:r>
          </w:p>
        </w:tc>
        <w:tc>
          <w:tcPr>
            <w:tcW w:w="1403" w:type="dxa"/>
          </w:tcPr>
          <w:p w14:paraId="627F5884" w14:textId="79DE8A41" w:rsidR="006B171D" w:rsidRPr="00B22B26" w:rsidRDefault="00B00A85"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99,7</w:t>
            </w:r>
          </w:p>
        </w:tc>
        <w:tc>
          <w:tcPr>
            <w:tcW w:w="1224" w:type="dxa"/>
          </w:tcPr>
          <w:p w14:paraId="4A73AF4C" w14:textId="575EE4D0" w:rsidR="006B171D" w:rsidRPr="00B22B26" w:rsidRDefault="00431108"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60,25</w:t>
            </w:r>
          </w:p>
        </w:tc>
        <w:tc>
          <w:tcPr>
            <w:tcW w:w="1403" w:type="dxa"/>
          </w:tcPr>
          <w:p w14:paraId="5318CD4D" w14:textId="0AE96B4C" w:rsidR="006B171D" w:rsidRPr="00B22B26" w:rsidRDefault="00B00A85"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105,7</w:t>
            </w:r>
          </w:p>
        </w:tc>
        <w:tc>
          <w:tcPr>
            <w:tcW w:w="1224" w:type="dxa"/>
          </w:tcPr>
          <w:p w14:paraId="7988E2E1" w14:textId="37436E3B" w:rsidR="006B171D" w:rsidRPr="00B22B26" w:rsidRDefault="00431108"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67,42</w:t>
            </w:r>
          </w:p>
        </w:tc>
        <w:tc>
          <w:tcPr>
            <w:tcW w:w="1403" w:type="dxa"/>
          </w:tcPr>
          <w:p w14:paraId="1374BEC3" w14:textId="14F1C1D3" w:rsidR="006B171D" w:rsidRPr="00B22B26" w:rsidRDefault="00DE4BC1"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111,9</w:t>
            </w:r>
          </w:p>
        </w:tc>
      </w:tr>
      <w:tr w:rsidR="00B22B26" w14:paraId="4706B550" w14:textId="77777777" w:rsidTr="006B171D">
        <w:tc>
          <w:tcPr>
            <w:tcW w:w="1749" w:type="dxa"/>
          </w:tcPr>
          <w:p w14:paraId="6CF44BF4" w14:textId="64D8376D" w:rsidR="006B171D" w:rsidRPr="00B22B26" w:rsidRDefault="006B171D"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Загальний фонд</w:t>
            </w:r>
          </w:p>
        </w:tc>
        <w:tc>
          <w:tcPr>
            <w:tcW w:w="1223" w:type="dxa"/>
          </w:tcPr>
          <w:p w14:paraId="7312D34A" w14:textId="2907B759" w:rsidR="006B171D" w:rsidRPr="00B22B26" w:rsidRDefault="00031919"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56, 41</w:t>
            </w:r>
          </w:p>
        </w:tc>
        <w:tc>
          <w:tcPr>
            <w:tcW w:w="1403" w:type="dxa"/>
          </w:tcPr>
          <w:p w14:paraId="3440A8CE" w14:textId="19C77F24" w:rsidR="006B171D" w:rsidRPr="00B22B26" w:rsidRDefault="00B00A85"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99,7</w:t>
            </w:r>
          </w:p>
        </w:tc>
        <w:tc>
          <w:tcPr>
            <w:tcW w:w="1224" w:type="dxa"/>
          </w:tcPr>
          <w:p w14:paraId="2F98C878" w14:textId="080AE86E" w:rsidR="006B171D" w:rsidRPr="00B22B26" w:rsidRDefault="00431108"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60,23</w:t>
            </w:r>
          </w:p>
        </w:tc>
        <w:tc>
          <w:tcPr>
            <w:tcW w:w="1403" w:type="dxa"/>
          </w:tcPr>
          <w:p w14:paraId="134F7113" w14:textId="0E82769C" w:rsidR="006B171D" w:rsidRPr="00B22B26" w:rsidRDefault="00B00A85"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106,8</w:t>
            </w:r>
          </w:p>
        </w:tc>
        <w:tc>
          <w:tcPr>
            <w:tcW w:w="1224" w:type="dxa"/>
          </w:tcPr>
          <w:p w14:paraId="69B19255" w14:textId="4D214D8D" w:rsidR="006B171D" w:rsidRPr="00B22B26" w:rsidRDefault="00431108"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67,40</w:t>
            </w:r>
          </w:p>
        </w:tc>
        <w:tc>
          <w:tcPr>
            <w:tcW w:w="1403" w:type="dxa"/>
          </w:tcPr>
          <w:p w14:paraId="5C47BC11" w14:textId="5A3E9C6B" w:rsidR="006B171D" w:rsidRPr="00B22B26" w:rsidRDefault="00DE4BC1"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111,9</w:t>
            </w:r>
          </w:p>
        </w:tc>
      </w:tr>
      <w:tr w:rsidR="00B22B26" w14:paraId="5221A7FD" w14:textId="77777777" w:rsidTr="006B171D">
        <w:tc>
          <w:tcPr>
            <w:tcW w:w="1749" w:type="dxa"/>
          </w:tcPr>
          <w:p w14:paraId="67668F6F" w14:textId="7C7F8BE9" w:rsidR="006B171D" w:rsidRPr="00B22B26" w:rsidRDefault="006B171D"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Спеціальний фонд</w:t>
            </w:r>
          </w:p>
        </w:tc>
        <w:tc>
          <w:tcPr>
            <w:tcW w:w="1223" w:type="dxa"/>
          </w:tcPr>
          <w:p w14:paraId="64997934" w14:textId="218AD3C2" w:rsidR="006B171D" w:rsidRPr="00B22B26" w:rsidRDefault="00031919"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0,59</w:t>
            </w:r>
          </w:p>
        </w:tc>
        <w:tc>
          <w:tcPr>
            <w:tcW w:w="1403" w:type="dxa"/>
          </w:tcPr>
          <w:p w14:paraId="6ECB9E99" w14:textId="3B6D7196" w:rsidR="006B171D" w:rsidRPr="00B22B26" w:rsidRDefault="00B00A85"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100,0</w:t>
            </w:r>
          </w:p>
        </w:tc>
        <w:tc>
          <w:tcPr>
            <w:tcW w:w="1224" w:type="dxa"/>
          </w:tcPr>
          <w:p w14:paraId="14904434" w14:textId="5943967C" w:rsidR="006B171D" w:rsidRPr="00B22B26" w:rsidRDefault="00431108"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0,02</w:t>
            </w:r>
          </w:p>
        </w:tc>
        <w:tc>
          <w:tcPr>
            <w:tcW w:w="1403" w:type="dxa"/>
          </w:tcPr>
          <w:p w14:paraId="7D9532AA" w14:textId="0EC04C24" w:rsidR="006B171D" w:rsidRPr="00B22B26" w:rsidRDefault="00B00A85"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3,4</w:t>
            </w:r>
          </w:p>
        </w:tc>
        <w:tc>
          <w:tcPr>
            <w:tcW w:w="1224" w:type="dxa"/>
          </w:tcPr>
          <w:p w14:paraId="5FC5914D" w14:textId="6EC2BD7A" w:rsidR="006B171D" w:rsidRPr="00B22B26" w:rsidRDefault="00431108"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0,02</w:t>
            </w:r>
          </w:p>
        </w:tc>
        <w:tc>
          <w:tcPr>
            <w:tcW w:w="1403" w:type="dxa"/>
          </w:tcPr>
          <w:p w14:paraId="39642664" w14:textId="21761FF9" w:rsidR="006B171D" w:rsidRPr="00B22B26" w:rsidRDefault="00DE4BC1"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100,0</w:t>
            </w:r>
          </w:p>
        </w:tc>
      </w:tr>
      <w:tr w:rsidR="00B22B26" w14:paraId="20CCEA87" w14:textId="77777777" w:rsidTr="006B171D">
        <w:tc>
          <w:tcPr>
            <w:tcW w:w="1749" w:type="dxa"/>
          </w:tcPr>
          <w:p w14:paraId="703670B2" w14:textId="75FCA755" w:rsidR="006B171D" w:rsidRPr="00B22B26" w:rsidRDefault="006B171D"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Видатки</w:t>
            </w:r>
          </w:p>
        </w:tc>
        <w:tc>
          <w:tcPr>
            <w:tcW w:w="1223" w:type="dxa"/>
          </w:tcPr>
          <w:p w14:paraId="738E4A0E" w14:textId="20D8D6C9" w:rsidR="006B171D" w:rsidRPr="00B22B26" w:rsidRDefault="00431108"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56,99</w:t>
            </w:r>
          </w:p>
        </w:tc>
        <w:tc>
          <w:tcPr>
            <w:tcW w:w="1403" w:type="dxa"/>
          </w:tcPr>
          <w:p w14:paraId="34BC02C8" w14:textId="0F90B8D1" w:rsidR="006B171D" w:rsidRPr="00B22B26" w:rsidRDefault="002D3E09"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87,5</w:t>
            </w:r>
          </w:p>
        </w:tc>
        <w:tc>
          <w:tcPr>
            <w:tcW w:w="1224" w:type="dxa"/>
          </w:tcPr>
          <w:p w14:paraId="2BC38AB3" w14:textId="798DF5EF" w:rsidR="006B171D" w:rsidRPr="00B22B26" w:rsidRDefault="00431108"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60,25</w:t>
            </w:r>
          </w:p>
        </w:tc>
        <w:tc>
          <w:tcPr>
            <w:tcW w:w="1403" w:type="dxa"/>
          </w:tcPr>
          <w:p w14:paraId="07ACB8EB" w14:textId="5436EAFA" w:rsidR="006B171D" w:rsidRPr="00B22B26" w:rsidRDefault="00B00A85"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105,7</w:t>
            </w:r>
          </w:p>
        </w:tc>
        <w:tc>
          <w:tcPr>
            <w:tcW w:w="1224" w:type="dxa"/>
          </w:tcPr>
          <w:p w14:paraId="083EB237" w14:textId="5C96F029" w:rsidR="006B171D" w:rsidRPr="00B22B26" w:rsidRDefault="00431108"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67,42</w:t>
            </w:r>
          </w:p>
        </w:tc>
        <w:tc>
          <w:tcPr>
            <w:tcW w:w="1403" w:type="dxa"/>
          </w:tcPr>
          <w:p w14:paraId="6847AD36" w14:textId="1A9E283C" w:rsidR="006B171D" w:rsidRPr="00B22B26" w:rsidRDefault="00DE4BC1" w:rsidP="006B171D">
            <w:pPr>
              <w:jc w:val="center"/>
              <w:rPr>
                <w:rFonts w:ascii="Times New Roman" w:hAnsi="Times New Roman" w:cs="Times New Roman"/>
                <w:b/>
                <w:bCs/>
                <w:sz w:val="24"/>
                <w:szCs w:val="24"/>
              </w:rPr>
            </w:pPr>
            <w:r w:rsidRPr="00B22B26">
              <w:rPr>
                <w:rFonts w:ascii="Times New Roman" w:hAnsi="Times New Roman" w:cs="Times New Roman"/>
                <w:b/>
                <w:bCs/>
                <w:sz w:val="24"/>
                <w:szCs w:val="24"/>
              </w:rPr>
              <w:t>111,9</w:t>
            </w:r>
          </w:p>
        </w:tc>
      </w:tr>
      <w:tr w:rsidR="00B22B26" w14:paraId="71AD1BC0" w14:textId="77777777" w:rsidTr="006B171D">
        <w:tc>
          <w:tcPr>
            <w:tcW w:w="1749" w:type="dxa"/>
          </w:tcPr>
          <w:p w14:paraId="704E04D2" w14:textId="78179172" w:rsidR="006B171D" w:rsidRPr="00B22B26" w:rsidRDefault="006B171D"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Загальний фонд</w:t>
            </w:r>
          </w:p>
        </w:tc>
        <w:tc>
          <w:tcPr>
            <w:tcW w:w="1223" w:type="dxa"/>
          </w:tcPr>
          <w:p w14:paraId="7C1BECF0" w14:textId="3FBB4D31" w:rsidR="006B171D" w:rsidRPr="00B22B26" w:rsidRDefault="00431108"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53,41</w:t>
            </w:r>
          </w:p>
        </w:tc>
        <w:tc>
          <w:tcPr>
            <w:tcW w:w="1403" w:type="dxa"/>
          </w:tcPr>
          <w:p w14:paraId="565DAEBE" w14:textId="53C5EF01" w:rsidR="006B171D" w:rsidRPr="00B22B26" w:rsidRDefault="002D3E09"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92,4</w:t>
            </w:r>
          </w:p>
        </w:tc>
        <w:tc>
          <w:tcPr>
            <w:tcW w:w="1224" w:type="dxa"/>
          </w:tcPr>
          <w:p w14:paraId="63059D17" w14:textId="319C3286" w:rsidR="006B171D" w:rsidRPr="00B22B26" w:rsidRDefault="00431108"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53,33</w:t>
            </w:r>
          </w:p>
        </w:tc>
        <w:tc>
          <w:tcPr>
            <w:tcW w:w="1403" w:type="dxa"/>
          </w:tcPr>
          <w:p w14:paraId="69687509" w14:textId="396952D5" w:rsidR="006B171D" w:rsidRPr="00B22B26" w:rsidRDefault="00DE4BC1"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99,8</w:t>
            </w:r>
          </w:p>
        </w:tc>
        <w:tc>
          <w:tcPr>
            <w:tcW w:w="1224" w:type="dxa"/>
          </w:tcPr>
          <w:p w14:paraId="675ED9DF" w14:textId="738E384C" w:rsidR="006B171D" w:rsidRPr="00B22B26" w:rsidRDefault="00431108"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67,40</w:t>
            </w:r>
          </w:p>
        </w:tc>
        <w:tc>
          <w:tcPr>
            <w:tcW w:w="1403" w:type="dxa"/>
          </w:tcPr>
          <w:p w14:paraId="3CD926AA" w14:textId="07615FFC" w:rsidR="006B171D" w:rsidRPr="00B22B26" w:rsidRDefault="00DE4BC1"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126,4</w:t>
            </w:r>
          </w:p>
        </w:tc>
      </w:tr>
      <w:tr w:rsidR="006B171D" w14:paraId="38136F68" w14:textId="77777777" w:rsidTr="006B171D">
        <w:tc>
          <w:tcPr>
            <w:tcW w:w="1749" w:type="dxa"/>
          </w:tcPr>
          <w:p w14:paraId="4CB08198" w14:textId="5BB7A20B" w:rsidR="006B171D" w:rsidRPr="00B22B26" w:rsidRDefault="006B171D"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Спеціальний фонд</w:t>
            </w:r>
          </w:p>
        </w:tc>
        <w:tc>
          <w:tcPr>
            <w:tcW w:w="1223" w:type="dxa"/>
          </w:tcPr>
          <w:p w14:paraId="2A689151" w14:textId="0FFE7E32" w:rsidR="006B171D" w:rsidRPr="00B22B26" w:rsidRDefault="00431108"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3,59</w:t>
            </w:r>
          </w:p>
        </w:tc>
        <w:tc>
          <w:tcPr>
            <w:tcW w:w="1403" w:type="dxa"/>
          </w:tcPr>
          <w:p w14:paraId="089B95E3" w14:textId="5692EFC8" w:rsidR="006B171D" w:rsidRPr="00B22B26" w:rsidRDefault="002D3E09"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35,1</w:t>
            </w:r>
          </w:p>
        </w:tc>
        <w:tc>
          <w:tcPr>
            <w:tcW w:w="1224" w:type="dxa"/>
          </w:tcPr>
          <w:p w14:paraId="53D1E78D" w14:textId="49C93776" w:rsidR="006B171D" w:rsidRPr="00B22B26" w:rsidRDefault="00431108"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3,92</w:t>
            </w:r>
          </w:p>
        </w:tc>
        <w:tc>
          <w:tcPr>
            <w:tcW w:w="1403" w:type="dxa"/>
          </w:tcPr>
          <w:p w14:paraId="36ACEE01" w14:textId="3078BFAD" w:rsidR="006B171D" w:rsidRPr="00B22B26" w:rsidRDefault="00DE4BC1"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109,2</w:t>
            </w:r>
          </w:p>
        </w:tc>
        <w:tc>
          <w:tcPr>
            <w:tcW w:w="1224" w:type="dxa"/>
          </w:tcPr>
          <w:p w14:paraId="233377C7" w14:textId="0727A6C9" w:rsidR="006B171D" w:rsidRPr="00B22B26" w:rsidRDefault="00431108"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0,02</w:t>
            </w:r>
          </w:p>
        </w:tc>
        <w:tc>
          <w:tcPr>
            <w:tcW w:w="1403" w:type="dxa"/>
          </w:tcPr>
          <w:p w14:paraId="0886D7DA" w14:textId="5BBB28F7" w:rsidR="006B171D" w:rsidRPr="00B22B26" w:rsidRDefault="00DE4BC1" w:rsidP="006B171D">
            <w:pPr>
              <w:jc w:val="center"/>
              <w:rPr>
                <w:rFonts w:ascii="Times New Roman" w:hAnsi="Times New Roman" w:cs="Times New Roman"/>
                <w:i/>
                <w:iCs/>
                <w:sz w:val="24"/>
                <w:szCs w:val="24"/>
              </w:rPr>
            </w:pPr>
            <w:r w:rsidRPr="00B22B26">
              <w:rPr>
                <w:rFonts w:ascii="Times New Roman" w:hAnsi="Times New Roman" w:cs="Times New Roman"/>
                <w:i/>
                <w:iCs/>
                <w:sz w:val="24"/>
                <w:szCs w:val="24"/>
              </w:rPr>
              <w:t>0,5</w:t>
            </w:r>
          </w:p>
        </w:tc>
      </w:tr>
    </w:tbl>
    <w:p w14:paraId="00270408" w14:textId="77777777" w:rsidR="006B171D" w:rsidRPr="006B171D" w:rsidRDefault="006B171D" w:rsidP="006B171D">
      <w:pPr>
        <w:ind w:firstLine="708"/>
        <w:jc w:val="center"/>
        <w:rPr>
          <w:rFonts w:ascii="Times New Roman" w:hAnsi="Times New Roman" w:cs="Times New Roman"/>
          <w:sz w:val="28"/>
          <w:szCs w:val="28"/>
        </w:rPr>
      </w:pPr>
    </w:p>
    <w:p w14:paraId="4B7C2D8C" w14:textId="77777777" w:rsidR="001D1498" w:rsidRPr="007C7233" w:rsidRDefault="001D1498" w:rsidP="00935670">
      <w:pPr>
        <w:ind w:firstLine="708"/>
        <w:jc w:val="both"/>
        <w:rPr>
          <w:rFonts w:ascii="Times New Roman" w:hAnsi="Times New Roman" w:cs="Times New Roman"/>
          <w:sz w:val="28"/>
          <w:szCs w:val="28"/>
        </w:rPr>
      </w:pPr>
      <w:r w:rsidRPr="007C7233">
        <w:rPr>
          <w:rFonts w:ascii="Times New Roman" w:hAnsi="Times New Roman" w:cs="Times New Roman"/>
          <w:sz w:val="28"/>
          <w:szCs w:val="28"/>
        </w:rPr>
        <w:t xml:space="preserve">Прогнознозовані макроекономічні та соціальні показники на 2026-2028 роки розраховані в умовах максимальної невизначеності, спричиненої постійними змінами як зовнішніх, так і внутрішніх факторів впливу. </w:t>
      </w:r>
      <w:r w:rsidRPr="007C7233">
        <w:rPr>
          <w:rFonts w:ascii="Times New Roman" w:hAnsi="Times New Roman" w:cs="Times New Roman"/>
          <w:sz w:val="28"/>
          <w:szCs w:val="28"/>
        </w:rPr>
        <w:lastRenderedPageBreak/>
        <w:t>Невизначеність щодо подальшого розвитку безпекової ситуації, міжнародної фінансової допомоги, динаміки міграційних процесів та інших зовнішніх чинників унеможливлює реалізацію різних сценаріїв економічного розвитку. Через високу варіативність соціально-економічної та безпекової ситуації прогноз може бути скоригований як у бік поліпшення так і у бік погіршення.</w:t>
      </w:r>
    </w:p>
    <w:p w14:paraId="7A618BAA" w14:textId="452F0EF2" w:rsidR="006B171D" w:rsidRPr="007C7233" w:rsidRDefault="00AD6E95" w:rsidP="00935670">
      <w:pPr>
        <w:ind w:firstLine="708"/>
        <w:jc w:val="both"/>
        <w:rPr>
          <w:rFonts w:ascii="Times New Roman" w:hAnsi="Times New Roman" w:cs="Times New Roman"/>
          <w:sz w:val="28"/>
          <w:szCs w:val="28"/>
        </w:rPr>
      </w:pPr>
      <w:r w:rsidRPr="007C7233">
        <w:rPr>
          <w:rFonts w:ascii="Times New Roman" w:hAnsi="Times New Roman" w:cs="Times New Roman"/>
          <w:sz w:val="28"/>
          <w:szCs w:val="28"/>
        </w:rPr>
        <w:t xml:space="preserve">З урахуванням прогнозу основних макроекономічних показників економічного та соціального розвитку країни, </w:t>
      </w:r>
      <w:r w:rsidR="008A0847" w:rsidRPr="007C7233">
        <w:rPr>
          <w:rFonts w:ascii="Times New Roman" w:hAnsi="Times New Roman" w:cs="Times New Roman"/>
          <w:sz w:val="28"/>
          <w:szCs w:val="28"/>
        </w:rPr>
        <w:t>які враховують дію правового режиму воєнного стану, та із застосуванням норм бюджетного та податкового законодавства. Під час прогнозування дохідної частини місцевого бюджету  на 2026-2028 роки було враховано фактичне виконання дохідної частини бюджету у 2025 році, застосування нормативу зарахувань податку на доходи фізичних осіб до місцевих бюджетів на 2026-2028 роки, періоди дії воєнного стану та ін.</w:t>
      </w:r>
    </w:p>
    <w:p w14:paraId="2F025878" w14:textId="0DC1DB80" w:rsidR="00935670" w:rsidRPr="007C7233" w:rsidRDefault="00935670" w:rsidP="00935670">
      <w:pPr>
        <w:ind w:firstLine="708"/>
        <w:jc w:val="both"/>
        <w:rPr>
          <w:rFonts w:ascii="Times New Roman" w:hAnsi="Times New Roman" w:cs="Times New Roman"/>
          <w:sz w:val="28"/>
          <w:szCs w:val="28"/>
        </w:rPr>
      </w:pPr>
      <w:r w:rsidRPr="007C7233">
        <w:rPr>
          <w:rFonts w:ascii="Times New Roman" w:hAnsi="Times New Roman" w:cs="Times New Roman"/>
          <w:sz w:val="28"/>
          <w:szCs w:val="28"/>
        </w:rPr>
        <w:t>У</w:t>
      </w:r>
      <w:r w:rsidR="00E57EA0" w:rsidRPr="007C7233">
        <w:rPr>
          <w:rFonts w:ascii="Times New Roman" w:hAnsi="Times New Roman" w:cs="Times New Roman"/>
          <w:sz w:val="28"/>
          <w:szCs w:val="28"/>
        </w:rPr>
        <w:t xml:space="preserve"> </w:t>
      </w:r>
      <w:r w:rsidRPr="007C7233">
        <w:rPr>
          <w:rFonts w:ascii="Times New Roman" w:hAnsi="Times New Roman" w:cs="Times New Roman"/>
          <w:sz w:val="28"/>
          <w:szCs w:val="28"/>
        </w:rPr>
        <w:t>цілому показник доходів на 2026 рік зменшується на 0,03%, що більшою мірою спричинено зміною відрахування частки податку на доходи фізичних осіб до місцевого бюджету (з 64% на 60%), але по всім іншим основним джерелам надходжень до місцевого бюджету спостерігатиметься збільшення надходжень, за умови поліпшення безпекової ситуації та зменшення негативного впливу збройної агресії на територію громади. Основним джерелом надходжень загального фонду на 2026-2028 роки є податок з доходів фізичних осіб.</w:t>
      </w:r>
    </w:p>
    <w:p w14:paraId="75DCF2C7" w14:textId="21F30D96" w:rsidR="00A5717A" w:rsidRPr="007C7233" w:rsidRDefault="00A5717A" w:rsidP="00935670">
      <w:pPr>
        <w:ind w:firstLine="708"/>
        <w:jc w:val="both"/>
        <w:rPr>
          <w:rFonts w:ascii="Times New Roman" w:hAnsi="Times New Roman" w:cs="Times New Roman"/>
          <w:sz w:val="28"/>
          <w:szCs w:val="28"/>
        </w:rPr>
      </w:pPr>
      <w:r w:rsidRPr="007C7233">
        <w:rPr>
          <w:rFonts w:ascii="Times New Roman" w:hAnsi="Times New Roman" w:cs="Times New Roman"/>
          <w:sz w:val="28"/>
          <w:szCs w:val="28"/>
        </w:rPr>
        <w:t xml:space="preserve">Формування видаткової частини бюджету Музиківської сільської територіальної громади </w:t>
      </w:r>
      <w:r w:rsidR="00C03969" w:rsidRPr="007C7233">
        <w:rPr>
          <w:rFonts w:ascii="Times New Roman" w:hAnsi="Times New Roman" w:cs="Times New Roman"/>
          <w:sz w:val="28"/>
          <w:szCs w:val="28"/>
        </w:rPr>
        <w:t>на 2026-2028 роки здійснено в межах ресурсних можливостей бюджету. Враховані обсяги видатків, необхідні для забезпечення стабільної роботи установ та закладів соціально-культурної сфери</w:t>
      </w:r>
      <w:r w:rsidR="008C0F3F" w:rsidRPr="007C7233">
        <w:rPr>
          <w:rFonts w:ascii="Times New Roman" w:hAnsi="Times New Roman" w:cs="Times New Roman"/>
          <w:sz w:val="28"/>
          <w:szCs w:val="28"/>
        </w:rPr>
        <w:t xml:space="preserve"> </w:t>
      </w:r>
      <w:r w:rsidR="00CC72BB" w:rsidRPr="007C7233">
        <w:rPr>
          <w:rFonts w:ascii="Times New Roman" w:hAnsi="Times New Roman" w:cs="Times New Roman"/>
          <w:sz w:val="28"/>
          <w:szCs w:val="28"/>
        </w:rPr>
        <w:t xml:space="preserve">та пристосування їх до реалій воєнного стану, надання соціальних гарантій для незахищених категорій громадян, учасників та учасниць бойових дій, ветеранів і ветеранок та членів їх сімей, підтримки в належному стані </w:t>
      </w:r>
      <w:r w:rsidR="008C0F3F" w:rsidRPr="007C7233">
        <w:rPr>
          <w:rFonts w:ascii="Times New Roman" w:hAnsi="Times New Roman" w:cs="Times New Roman"/>
          <w:sz w:val="28"/>
          <w:szCs w:val="28"/>
        </w:rPr>
        <w:t>об’єктів</w:t>
      </w:r>
      <w:r w:rsidR="00CC72BB" w:rsidRPr="007C7233">
        <w:rPr>
          <w:rFonts w:ascii="Times New Roman" w:hAnsi="Times New Roman" w:cs="Times New Roman"/>
          <w:sz w:val="28"/>
          <w:szCs w:val="28"/>
        </w:rPr>
        <w:t xml:space="preserve"> житлово-комунального господарства, інших </w:t>
      </w:r>
      <w:r w:rsidR="008C0F3F" w:rsidRPr="007C7233">
        <w:rPr>
          <w:rFonts w:ascii="Times New Roman" w:hAnsi="Times New Roman" w:cs="Times New Roman"/>
          <w:sz w:val="28"/>
          <w:szCs w:val="28"/>
        </w:rPr>
        <w:t>об’єктів інфраструктури громади, видатки на реалізацію публічних інвестиційних проектів та програм публічних інвестицій,  виконання в межах фінансових можливостей цільових програм.</w:t>
      </w:r>
    </w:p>
    <w:p w14:paraId="2253C4B1" w14:textId="7274D5CF" w:rsidR="007A73DE" w:rsidRPr="007C7233" w:rsidRDefault="007A73DE" w:rsidP="00935670">
      <w:pPr>
        <w:ind w:firstLine="708"/>
        <w:jc w:val="both"/>
        <w:rPr>
          <w:rFonts w:ascii="Times New Roman" w:hAnsi="Times New Roman" w:cs="Times New Roman"/>
          <w:sz w:val="28"/>
          <w:szCs w:val="28"/>
        </w:rPr>
      </w:pPr>
      <w:r w:rsidRPr="007C7233">
        <w:rPr>
          <w:rFonts w:ascii="Times New Roman" w:hAnsi="Times New Roman" w:cs="Times New Roman"/>
          <w:sz w:val="28"/>
          <w:szCs w:val="28"/>
        </w:rPr>
        <w:t>Видатки узагальнені за бюджетними програмами з урахуванням їх пріоритетності із застосуванням програмно-цільового методу планування, що дає можливість передбачити результати виконання кожної бюджетної програми</w:t>
      </w:r>
      <w:r w:rsidR="00D15604" w:rsidRPr="007C7233">
        <w:rPr>
          <w:rFonts w:ascii="Times New Roman" w:hAnsi="Times New Roman" w:cs="Times New Roman"/>
          <w:sz w:val="28"/>
          <w:szCs w:val="28"/>
        </w:rPr>
        <w:t xml:space="preserve">, а також здійснити оцінку ефективності використання бюджетних коштів. </w:t>
      </w:r>
    </w:p>
    <w:p w14:paraId="09257996" w14:textId="0B7464D1" w:rsidR="00D15604" w:rsidRPr="007C7233" w:rsidRDefault="00D15604" w:rsidP="00935670">
      <w:pPr>
        <w:ind w:firstLine="708"/>
        <w:jc w:val="both"/>
        <w:rPr>
          <w:rFonts w:ascii="Times New Roman" w:hAnsi="Times New Roman" w:cs="Times New Roman"/>
          <w:sz w:val="28"/>
          <w:szCs w:val="28"/>
        </w:rPr>
      </w:pPr>
      <w:r w:rsidRPr="007C7233">
        <w:rPr>
          <w:rFonts w:ascii="Times New Roman" w:hAnsi="Times New Roman" w:cs="Times New Roman"/>
          <w:sz w:val="28"/>
          <w:szCs w:val="28"/>
        </w:rPr>
        <w:t>Для розрахунку оплати праці з нарахуваннями були взяті основні показники з Бюджетної декларації:</w:t>
      </w:r>
    </w:p>
    <w:p w14:paraId="0E2AD245" w14:textId="14DA8430" w:rsidR="00D15604" w:rsidRPr="007C7233" w:rsidRDefault="00D15604" w:rsidP="00D15604">
      <w:pPr>
        <w:pStyle w:val="a9"/>
        <w:numPr>
          <w:ilvl w:val="0"/>
          <w:numId w:val="1"/>
        </w:numPr>
        <w:jc w:val="both"/>
        <w:rPr>
          <w:rFonts w:ascii="Times New Roman" w:hAnsi="Times New Roman" w:cs="Times New Roman"/>
          <w:sz w:val="28"/>
          <w:szCs w:val="28"/>
        </w:rPr>
      </w:pPr>
      <w:r w:rsidRPr="007C7233">
        <w:rPr>
          <w:rFonts w:ascii="Times New Roman" w:hAnsi="Times New Roman" w:cs="Times New Roman"/>
          <w:sz w:val="28"/>
          <w:szCs w:val="28"/>
        </w:rPr>
        <w:t>розмір мінімальної заробітної плати (з 1.01.2026р. – 8688 грн; з 01.01.2027р. – 9374 грн; з 01.01.2028р. – 10059 грн);</w:t>
      </w:r>
    </w:p>
    <w:p w14:paraId="6B392CDA" w14:textId="1393B2C4" w:rsidR="00D15604" w:rsidRPr="007C7233" w:rsidRDefault="00D15604" w:rsidP="00D15604">
      <w:pPr>
        <w:pStyle w:val="a9"/>
        <w:numPr>
          <w:ilvl w:val="0"/>
          <w:numId w:val="1"/>
        </w:numPr>
        <w:jc w:val="both"/>
        <w:rPr>
          <w:rFonts w:ascii="Times New Roman" w:hAnsi="Times New Roman" w:cs="Times New Roman"/>
          <w:sz w:val="28"/>
          <w:szCs w:val="28"/>
        </w:rPr>
      </w:pPr>
      <w:r w:rsidRPr="007C7233">
        <w:rPr>
          <w:rFonts w:ascii="Times New Roman" w:hAnsi="Times New Roman" w:cs="Times New Roman"/>
          <w:sz w:val="28"/>
          <w:szCs w:val="28"/>
        </w:rPr>
        <w:t>розмір посадового окладу працівника І тарифного розряду Єдиної тарифної сітки (</w:t>
      </w:r>
      <w:r w:rsidRPr="007C7233">
        <w:rPr>
          <w:rFonts w:ascii="Times New Roman" w:hAnsi="Times New Roman" w:cs="Times New Roman"/>
          <w:sz w:val="28"/>
          <w:szCs w:val="28"/>
        </w:rPr>
        <w:t>з 1.01.2026р. –</w:t>
      </w:r>
      <w:r w:rsidRPr="007C7233">
        <w:rPr>
          <w:rFonts w:ascii="Times New Roman" w:hAnsi="Times New Roman" w:cs="Times New Roman"/>
          <w:sz w:val="28"/>
          <w:szCs w:val="28"/>
        </w:rPr>
        <w:t>3470</w:t>
      </w:r>
      <w:r w:rsidRPr="007C7233">
        <w:rPr>
          <w:rFonts w:ascii="Times New Roman" w:hAnsi="Times New Roman" w:cs="Times New Roman"/>
          <w:sz w:val="28"/>
          <w:szCs w:val="28"/>
        </w:rPr>
        <w:t xml:space="preserve"> грн; з 01.01.2027р. – </w:t>
      </w:r>
      <w:r w:rsidRPr="007C7233">
        <w:rPr>
          <w:rFonts w:ascii="Times New Roman" w:hAnsi="Times New Roman" w:cs="Times New Roman"/>
          <w:sz w:val="28"/>
          <w:szCs w:val="28"/>
        </w:rPr>
        <w:t>3744 г</w:t>
      </w:r>
      <w:r w:rsidRPr="007C7233">
        <w:rPr>
          <w:rFonts w:ascii="Times New Roman" w:hAnsi="Times New Roman" w:cs="Times New Roman"/>
          <w:sz w:val="28"/>
          <w:szCs w:val="28"/>
        </w:rPr>
        <w:t xml:space="preserve">рн; з 01.01.2028р. – </w:t>
      </w:r>
      <w:r w:rsidRPr="007C7233">
        <w:rPr>
          <w:rFonts w:ascii="Times New Roman" w:hAnsi="Times New Roman" w:cs="Times New Roman"/>
          <w:sz w:val="28"/>
          <w:szCs w:val="28"/>
        </w:rPr>
        <w:t xml:space="preserve">4018 </w:t>
      </w:r>
      <w:r w:rsidRPr="007C7233">
        <w:rPr>
          <w:rFonts w:ascii="Times New Roman" w:hAnsi="Times New Roman" w:cs="Times New Roman"/>
          <w:sz w:val="28"/>
          <w:szCs w:val="28"/>
        </w:rPr>
        <w:t>грн)</w:t>
      </w:r>
      <w:r w:rsidRPr="007C7233">
        <w:rPr>
          <w:rFonts w:ascii="Times New Roman" w:hAnsi="Times New Roman" w:cs="Times New Roman"/>
          <w:sz w:val="28"/>
          <w:szCs w:val="28"/>
        </w:rPr>
        <w:t>.</w:t>
      </w:r>
    </w:p>
    <w:p w14:paraId="70A5B37F" w14:textId="29A8E5E4" w:rsidR="00D15604" w:rsidRPr="007C7233" w:rsidRDefault="00D15604" w:rsidP="00D15604">
      <w:pPr>
        <w:ind w:firstLine="709"/>
        <w:jc w:val="both"/>
        <w:rPr>
          <w:rFonts w:ascii="Times New Roman" w:hAnsi="Times New Roman" w:cs="Times New Roman"/>
          <w:sz w:val="28"/>
          <w:szCs w:val="28"/>
        </w:rPr>
      </w:pPr>
      <w:r w:rsidRPr="007C7233">
        <w:rPr>
          <w:rFonts w:ascii="Times New Roman" w:hAnsi="Times New Roman" w:cs="Times New Roman"/>
          <w:sz w:val="28"/>
          <w:szCs w:val="28"/>
        </w:rPr>
        <w:lastRenderedPageBreak/>
        <w:t>Темп росту видатків розрахований: 2026 рік до 2025 року – 87,5%; 2027 рік до 2026 року – 105,7%; 2028 рік до 2027 року – 111,9%.</w:t>
      </w:r>
    </w:p>
    <w:p w14:paraId="185E9804" w14:textId="704FA3DC" w:rsidR="00D15604" w:rsidRPr="007C7233" w:rsidRDefault="00D15604" w:rsidP="00D15604">
      <w:pPr>
        <w:ind w:firstLine="709"/>
        <w:jc w:val="both"/>
        <w:rPr>
          <w:rFonts w:ascii="Times New Roman" w:hAnsi="Times New Roman" w:cs="Times New Roman"/>
          <w:sz w:val="28"/>
          <w:szCs w:val="28"/>
        </w:rPr>
      </w:pPr>
      <w:r w:rsidRPr="007C7233">
        <w:rPr>
          <w:rFonts w:ascii="Times New Roman" w:hAnsi="Times New Roman" w:cs="Times New Roman"/>
          <w:sz w:val="28"/>
          <w:szCs w:val="28"/>
        </w:rPr>
        <w:t xml:space="preserve">Основні показники видатків прогнозу бюджету Музиківської сільської територіальної громади на 2026-2028 роки  носять конкретний напрям використання і враховують витрати як на виконання </w:t>
      </w:r>
      <w:r w:rsidR="00311071">
        <w:rPr>
          <w:rFonts w:ascii="Times New Roman" w:hAnsi="Times New Roman" w:cs="Times New Roman"/>
          <w:sz w:val="28"/>
          <w:szCs w:val="28"/>
        </w:rPr>
        <w:t xml:space="preserve">повноважень </w:t>
      </w:r>
      <w:r w:rsidRPr="007C7233">
        <w:rPr>
          <w:rFonts w:ascii="Times New Roman" w:hAnsi="Times New Roman" w:cs="Times New Roman"/>
          <w:sz w:val="28"/>
          <w:szCs w:val="28"/>
        </w:rPr>
        <w:t>органів місцевого самоврядування, так і завдань, що визначені особливостями бюджетного процесу під час воєнного стану.</w:t>
      </w:r>
    </w:p>
    <w:p w14:paraId="4A237AB1" w14:textId="2CC938B9" w:rsidR="00D15604" w:rsidRPr="007C7233" w:rsidRDefault="00D15604" w:rsidP="00D15604">
      <w:pPr>
        <w:ind w:firstLine="709"/>
        <w:jc w:val="both"/>
        <w:rPr>
          <w:rFonts w:ascii="Times New Roman" w:hAnsi="Times New Roman" w:cs="Times New Roman"/>
          <w:sz w:val="28"/>
          <w:szCs w:val="28"/>
        </w:rPr>
      </w:pPr>
      <w:r w:rsidRPr="007C7233">
        <w:rPr>
          <w:rFonts w:ascii="Times New Roman" w:hAnsi="Times New Roman" w:cs="Times New Roman"/>
          <w:sz w:val="28"/>
          <w:szCs w:val="28"/>
        </w:rPr>
        <w:t>Очікуваним результатом виконання прогнозу бюджету Музиківської сільської територіальної громади на 2026-2028 роки є:</w:t>
      </w:r>
    </w:p>
    <w:p w14:paraId="7B4CC70F" w14:textId="79BACD6D" w:rsidR="00D15604" w:rsidRPr="007C7233" w:rsidRDefault="00D15604" w:rsidP="00D15604">
      <w:pPr>
        <w:pStyle w:val="a9"/>
        <w:numPr>
          <w:ilvl w:val="0"/>
          <w:numId w:val="1"/>
        </w:numPr>
        <w:jc w:val="both"/>
        <w:rPr>
          <w:rFonts w:ascii="Times New Roman" w:hAnsi="Times New Roman" w:cs="Times New Roman"/>
          <w:sz w:val="28"/>
          <w:szCs w:val="28"/>
        </w:rPr>
      </w:pPr>
      <w:r w:rsidRPr="007C7233">
        <w:rPr>
          <w:rFonts w:ascii="Times New Roman" w:hAnsi="Times New Roman" w:cs="Times New Roman"/>
          <w:sz w:val="28"/>
          <w:szCs w:val="28"/>
        </w:rPr>
        <w:t>створити умови для поточної діяльності установ та закладів бюджетної сфери, комунальних підприємств, що забезпечують життєдіяльність громади</w:t>
      </w:r>
      <w:r w:rsidR="00F6368A" w:rsidRPr="007C7233">
        <w:rPr>
          <w:rFonts w:ascii="Times New Roman" w:hAnsi="Times New Roman" w:cs="Times New Roman"/>
          <w:sz w:val="28"/>
          <w:szCs w:val="28"/>
        </w:rPr>
        <w:t>;</w:t>
      </w:r>
    </w:p>
    <w:p w14:paraId="3BB82B5C" w14:textId="17F5984D" w:rsidR="00F6368A" w:rsidRPr="007C7233" w:rsidRDefault="00F6368A" w:rsidP="00D15604">
      <w:pPr>
        <w:pStyle w:val="a9"/>
        <w:numPr>
          <w:ilvl w:val="0"/>
          <w:numId w:val="1"/>
        </w:numPr>
        <w:jc w:val="both"/>
        <w:rPr>
          <w:rFonts w:ascii="Times New Roman" w:hAnsi="Times New Roman" w:cs="Times New Roman"/>
          <w:sz w:val="28"/>
          <w:szCs w:val="28"/>
        </w:rPr>
      </w:pPr>
      <w:r w:rsidRPr="007C7233">
        <w:rPr>
          <w:rFonts w:ascii="Times New Roman" w:hAnsi="Times New Roman" w:cs="Times New Roman"/>
          <w:sz w:val="28"/>
          <w:szCs w:val="28"/>
        </w:rPr>
        <w:t>створити сприятливе середовище</w:t>
      </w:r>
      <w:r w:rsidR="007C7233" w:rsidRPr="007C7233">
        <w:rPr>
          <w:rFonts w:ascii="Times New Roman" w:hAnsi="Times New Roman" w:cs="Times New Roman"/>
          <w:sz w:val="28"/>
          <w:szCs w:val="28"/>
        </w:rPr>
        <w:t xml:space="preserve"> для відновлення економіки та людського потенціалу;</w:t>
      </w:r>
    </w:p>
    <w:p w14:paraId="5652D899" w14:textId="446A79B5" w:rsidR="00F6368A" w:rsidRPr="007C7233" w:rsidRDefault="00F6368A" w:rsidP="00D15604">
      <w:pPr>
        <w:pStyle w:val="a9"/>
        <w:numPr>
          <w:ilvl w:val="0"/>
          <w:numId w:val="1"/>
        </w:numPr>
        <w:jc w:val="both"/>
        <w:rPr>
          <w:rFonts w:ascii="Times New Roman" w:hAnsi="Times New Roman" w:cs="Times New Roman"/>
          <w:sz w:val="28"/>
          <w:szCs w:val="28"/>
        </w:rPr>
      </w:pPr>
      <w:r w:rsidRPr="007C7233">
        <w:rPr>
          <w:rFonts w:ascii="Times New Roman" w:hAnsi="Times New Roman" w:cs="Times New Roman"/>
          <w:sz w:val="28"/>
          <w:szCs w:val="28"/>
        </w:rPr>
        <w:t>підвищ</w:t>
      </w:r>
      <w:r w:rsidR="00311071">
        <w:rPr>
          <w:rFonts w:ascii="Times New Roman" w:hAnsi="Times New Roman" w:cs="Times New Roman"/>
          <w:sz w:val="28"/>
          <w:szCs w:val="28"/>
        </w:rPr>
        <w:t>ити</w:t>
      </w:r>
      <w:r w:rsidRPr="007C7233">
        <w:rPr>
          <w:rFonts w:ascii="Times New Roman" w:hAnsi="Times New Roman" w:cs="Times New Roman"/>
          <w:sz w:val="28"/>
          <w:szCs w:val="28"/>
        </w:rPr>
        <w:t xml:space="preserve"> рів</w:t>
      </w:r>
      <w:r w:rsidR="00311071">
        <w:rPr>
          <w:rFonts w:ascii="Times New Roman" w:hAnsi="Times New Roman" w:cs="Times New Roman"/>
          <w:sz w:val="28"/>
          <w:szCs w:val="28"/>
        </w:rPr>
        <w:t>ень</w:t>
      </w:r>
      <w:r w:rsidRPr="007C7233">
        <w:rPr>
          <w:rFonts w:ascii="Times New Roman" w:hAnsi="Times New Roman" w:cs="Times New Roman"/>
          <w:sz w:val="28"/>
          <w:szCs w:val="28"/>
        </w:rPr>
        <w:t xml:space="preserve"> та як</w:t>
      </w:r>
      <w:r w:rsidR="00311071">
        <w:rPr>
          <w:rFonts w:ascii="Times New Roman" w:hAnsi="Times New Roman" w:cs="Times New Roman"/>
          <w:sz w:val="28"/>
          <w:szCs w:val="28"/>
        </w:rPr>
        <w:t>ість</w:t>
      </w:r>
      <w:r w:rsidRPr="007C7233">
        <w:rPr>
          <w:rFonts w:ascii="Times New Roman" w:hAnsi="Times New Roman" w:cs="Times New Roman"/>
          <w:sz w:val="28"/>
          <w:szCs w:val="28"/>
        </w:rPr>
        <w:t xml:space="preserve"> адміністративних, соціальних та інших послуг мешканцям та мешканкам громади;</w:t>
      </w:r>
    </w:p>
    <w:p w14:paraId="0BE6E987" w14:textId="5282FB92" w:rsidR="00F6368A" w:rsidRPr="007C7233" w:rsidRDefault="00F6368A" w:rsidP="00D15604">
      <w:pPr>
        <w:pStyle w:val="a9"/>
        <w:numPr>
          <w:ilvl w:val="0"/>
          <w:numId w:val="1"/>
        </w:numPr>
        <w:jc w:val="both"/>
        <w:rPr>
          <w:rFonts w:ascii="Times New Roman" w:hAnsi="Times New Roman" w:cs="Times New Roman"/>
          <w:sz w:val="28"/>
          <w:szCs w:val="28"/>
        </w:rPr>
      </w:pPr>
      <w:r w:rsidRPr="007C7233">
        <w:rPr>
          <w:rFonts w:ascii="Times New Roman" w:hAnsi="Times New Roman" w:cs="Times New Roman"/>
          <w:sz w:val="28"/>
          <w:szCs w:val="28"/>
        </w:rPr>
        <w:t>реаліз</w:t>
      </w:r>
      <w:r w:rsidR="00311071">
        <w:rPr>
          <w:rFonts w:ascii="Times New Roman" w:hAnsi="Times New Roman" w:cs="Times New Roman"/>
          <w:sz w:val="28"/>
          <w:szCs w:val="28"/>
        </w:rPr>
        <w:t>увати</w:t>
      </w:r>
      <w:r w:rsidRPr="007C7233">
        <w:rPr>
          <w:rFonts w:ascii="Times New Roman" w:hAnsi="Times New Roman" w:cs="Times New Roman"/>
          <w:sz w:val="28"/>
          <w:szCs w:val="28"/>
        </w:rPr>
        <w:t xml:space="preserve"> інвестиційн</w:t>
      </w:r>
      <w:r w:rsidR="00311071">
        <w:rPr>
          <w:rFonts w:ascii="Times New Roman" w:hAnsi="Times New Roman" w:cs="Times New Roman"/>
          <w:sz w:val="28"/>
          <w:szCs w:val="28"/>
        </w:rPr>
        <w:t>і</w:t>
      </w:r>
      <w:r w:rsidRPr="007C7233">
        <w:rPr>
          <w:rFonts w:ascii="Times New Roman" w:hAnsi="Times New Roman" w:cs="Times New Roman"/>
          <w:sz w:val="28"/>
          <w:szCs w:val="28"/>
        </w:rPr>
        <w:t xml:space="preserve"> проєкт</w:t>
      </w:r>
      <w:r w:rsidR="00311071">
        <w:rPr>
          <w:rFonts w:ascii="Times New Roman" w:hAnsi="Times New Roman" w:cs="Times New Roman"/>
          <w:sz w:val="28"/>
          <w:szCs w:val="28"/>
        </w:rPr>
        <w:t>и</w:t>
      </w:r>
      <w:r w:rsidRPr="007C7233">
        <w:rPr>
          <w:rFonts w:ascii="Times New Roman" w:hAnsi="Times New Roman" w:cs="Times New Roman"/>
          <w:sz w:val="28"/>
          <w:szCs w:val="28"/>
        </w:rPr>
        <w:t>.</w:t>
      </w:r>
    </w:p>
    <w:p w14:paraId="35240DF4" w14:textId="77777777" w:rsidR="00D15604" w:rsidRPr="007C7233" w:rsidRDefault="00D15604" w:rsidP="00D15604">
      <w:pPr>
        <w:ind w:left="708"/>
        <w:jc w:val="both"/>
        <w:rPr>
          <w:rFonts w:ascii="Times New Roman" w:hAnsi="Times New Roman" w:cs="Times New Roman"/>
          <w:sz w:val="28"/>
          <w:szCs w:val="28"/>
        </w:rPr>
      </w:pPr>
    </w:p>
    <w:p w14:paraId="450D94EF" w14:textId="77777777" w:rsidR="00D15604" w:rsidRPr="007C7233" w:rsidRDefault="00D15604" w:rsidP="00935670">
      <w:pPr>
        <w:ind w:firstLine="708"/>
        <w:jc w:val="both"/>
        <w:rPr>
          <w:rFonts w:ascii="Times New Roman" w:hAnsi="Times New Roman" w:cs="Times New Roman"/>
          <w:sz w:val="28"/>
          <w:szCs w:val="28"/>
        </w:rPr>
      </w:pPr>
    </w:p>
    <w:sectPr w:rsidR="00D15604" w:rsidRPr="007C72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A02E2"/>
    <w:multiLevelType w:val="hybridMultilevel"/>
    <w:tmpl w:val="827EC4D2"/>
    <w:lvl w:ilvl="0" w:tplc="E8B86B52">
      <w:start w:val="56"/>
      <w:numFmt w:val="bullet"/>
      <w:lvlText w:val="-"/>
      <w:lvlJc w:val="left"/>
      <w:pPr>
        <w:ind w:left="1068" w:hanging="360"/>
      </w:pPr>
      <w:rPr>
        <w:rFonts w:ascii="Calibri" w:eastAsiaTheme="minorHAnsi" w:hAnsi="Calibri" w:cs="Calibri"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16cid:durableId="67083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1D"/>
    <w:rsid w:val="00017E0F"/>
    <w:rsid w:val="00031919"/>
    <w:rsid w:val="00162B5B"/>
    <w:rsid w:val="001D1498"/>
    <w:rsid w:val="002D3E09"/>
    <w:rsid w:val="00311071"/>
    <w:rsid w:val="00431108"/>
    <w:rsid w:val="004A63F0"/>
    <w:rsid w:val="006677CE"/>
    <w:rsid w:val="006B171D"/>
    <w:rsid w:val="007A73DE"/>
    <w:rsid w:val="007C7233"/>
    <w:rsid w:val="0084439D"/>
    <w:rsid w:val="008A0847"/>
    <w:rsid w:val="008C0F3F"/>
    <w:rsid w:val="00935670"/>
    <w:rsid w:val="00A5717A"/>
    <w:rsid w:val="00AD6E95"/>
    <w:rsid w:val="00B00A85"/>
    <w:rsid w:val="00B22B26"/>
    <w:rsid w:val="00C03969"/>
    <w:rsid w:val="00CC72BB"/>
    <w:rsid w:val="00D15604"/>
    <w:rsid w:val="00DE4BC1"/>
    <w:rsid w:val="00E57EA0"/>
    <w:rsid w:val="00EA3384"/>
    <w:rsid w:val="00F636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B780"/>
  <w15:chartTrackingRefBased/>
  <w15:docId w15:val="{E366EEE7-B892-4D8F-B8DE-A89C66C9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17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B17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B17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B17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B17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B17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17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17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17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7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B17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B17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B17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B17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B17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171D"/>
    <w:rPr>
      <w:rFonts w:eastAsiaTheme="majorEastAsia" w:cstheme="majorBidi"/>
      <w:color w:val="595959" w:themeColor="text1" w:themeTint="A6"/>
    </w:rPr>
  </w:style>
  <w:style w:type="character" w:customStyle="1" w:styleId="80">
    <w:name w:val="Заголовок 8 Знак"/>
    <w:basedOn w:val="a0"/>
    <w:link w:val="8"/>
    <w:uiPriority w:val="9"/>
    <w:semiHidden/>
    <w:rsid w:val="006B17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171D"/>
    <w:rPr>
      <w:rFonts w:eastAsiaTheme="majorEastAsia" w:cstheme="majorBidi"/>
      <w:color w:val="272727" w:themeColor="text1" w:themeTint="D8"/>
    </w:rPr>
  </w:style>
  <w:style w:type="paragraph" w:styleId="a3">
    <w:name w:val="Title"/>
    <w:basedOn w:val="a"/>
    <w:next w:val="a"/>
    <w:link w:val="a4"/>
    <w:uiPriority w:val="10"/>
    <w:qFormat/>
    <w:rsid w:val="006B1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B17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71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B171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B171D"/>
    <w:pPr>
      <w:spacing w:before="160"/>
      <w:jc w:val="center"/>
    </w:pPr>
    <w:rPr>
      <w:i/>
      <w:iCs/>
      <w:color w:val="404040" w:themeColor="text1" w:themeTint="BF"/>
    </w:rPr>
  </w:style>
  <w:style w:type="character" w:customStyle="1" w:styleId="a8">
    <w:name w:val="Цитата Знак"/>
    <w:basedOn w:val="a0"/>
    <w:link w:val="a7"/>
    <w:uiPriority w:val="29"/>
    <w:rsid w:val="006B171D"/>
    <w:rPr>
      <w:i/>
      <w:iCs/>
      <w:color w:val="404040" w:themeColor="text1" w:themeTint="BF"/>
    </w:rPr>
  </w:style>
  <w:style w:type="paragraph" w:styleId="a9">
    <w:name w:val="List Paragraph"/>
    <w:basedOn w:val="a"/>
    <w:uiPriority w:val="34"/>
    <w:qFormat/>
    <w:rsid w:val="006B171D"/>
    <w:pPr>
      <w:ind w:left="720"/>
      <w:contextualSpacing/>
    </w:pPr>
  </w:style>
  <w:style w:type="character" w:styleId="aa">
    <w:name w:val="Intense Emphasis"/>
    <w:basedOn w:val="a0"/>
    <w:uiPriority w:val="21"/>
    <w:qFormat/>
    <w:rsid w:val="006B171D"/>
    <w:rPr>
      <w:i/>
      <w:iCs/>
      <w:color w:val="2F5496" w:themeColor="accent1" w:themeShade="BF"/>
    </w:rPr>
  </w:style>
  <w:style w:type="paragraph" w:styleId="ab">
    <w:name w:val="Intense Quote"/>
    <w:basedOn w:val="a"/>
    <w:next w:val="a"/>
    <w:link w:val="ac"/>
    <w:uiPriority w:val="30"/>
    <w:qFormat/>
    <w:rsid w:val="006B1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B171D"/>
    <w:rPr>
      <w:i/>
      <w:iCs/>
      <w:color w:val="2F5496" w:themeColor="accent1" w:themeShade="BF"/>
    </w:rPr>
  </w:style>
  <w:style w:type="character" w:styleId="ad">
    <w:name w:val="Intense Reference"/>
    <w:basedOn w:val="a0"/>
    <w:uiPriority w:val="32"/>
    <w:qFormat/>
    <w:rsid w:val="006B171D"/>
    <w:rPr>
      <w:b/>
      <w:bCs/>
      <w:smallCaps/>
      <w:color w:val="2F5496" w:themeColor="accent1" w:themeShade="BF"/>
      <w:spacing w:val="5"/>
    </w:rPr>
  </w:style>
  <w:style w:type="table" w:styleId="ae">
    <w:name w:val="Table Grid"/>
    <w:basedOn w:val="a1"/>
    <w:uiPriority w:val="39"/>
    <w:rsid w:val="006B1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3717</Words>
  <Characters>2119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ФIН-BOSS</dc:creator>
  <cp:keywords/>
  <dc:description/>
  <cp:lastModifiedBy>ФIН-BOSS</cp:lastModifiedBy>
  <cp:revision>19</cp:revision>
  <dcterms:created xsi:type="dcterms:W3CDTF">2025-10-10T05:16:00Z</dcterms:created>
  <dcterms:modified xsi:type="dcterms:W3CDTF">2025-10-10T06:22:00Z</dcterms:modified>
</cp:coreProperties>
</file>