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2A" w:rsidRPr="002D7CD6" w:rsidRDefault="00A31A2A" w:rsidP="00A31A2A">
      <w:pPr>
        <w:spacing w:after="0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</w:t>
      </w:r>
      <w:r w:rsidR="00A341CB" w:rsidRPr="002D7CD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BB50FF" w:rsidRPr="002D7CD6" w:rsidRDefault="00BB50FF" w:rsidP="00BB50FF">
      <w:pPr>
        <w:spacing w:after="0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рішення </w:t>
      </w:r>
      <w:r w:rsidR="00EB4CFA" w:rsidRPr="002D7CD6">
        <w:rPr>
          <w:rFonts w:ascii="Times New Roman" w:hAnsi="Times New Roman" w:cs="Times New Roman"/>
          <w:color w:val="000000" w:themeColor="text1"/>
          <w:sz w:val="24"/>
          <w:szCs w:val="24"/>
        </w:rPr>
        <w:t>Музиківської</w:t>
      </w:r>
      <w:r w:rsidR="00DB2822" w:rsidRPr="002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сільської</w:t>
      </w:r>
      <w:r w:rsidRPr="002D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</w:t>
      </w:r>
    </w:p>
    <w:p w:rsidR="00BF3534" w:rsidRPr="002D7CD6" w:rsidRDefault="00BB50FF" w:rsidP="00BB50FF">
      <w:pPr>
        <w:spacing w:after="0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hAnsi="Times New Roman" w:cs="Times New Roman"/>
          <w:color w:val="000000" w:themeColor="text1"/>
          <w:sz w:val="24"/>
          <w:szCs w:val="24"/>
        </w:rPr>
        <w:t>№ ____ від ________ року</w:t>
      </w:r>
    </w:p>
    <w:p w:rsidR="00A31A2A" w:rsidRPr="002D7CD6" w:rsidRDefault="00A31A2A" w:rsidP="00AE1DB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A2A" w:rsidRPr="002D7CD6" w:rsidRDefault="00A31A2A" w:rsidP="00AE1DB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534" w:rsidRPr="002D7CD6" w:rsidRDefault="00BF3534" w:rsidP="00AE1DB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534" w:rsidRPr="002D7CD6" w:rsidRDefault="00BF3534" w:rsidP="00AE1DB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BC" w:rsidRPr="002D7CD6" w:rsidRDefault="00CE3740" w:rsidP="00AE1DB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C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Методика</w:t>
      </w:r>
    </w:p>
    <w:p w:rsidR="00CE3740" w:rsidRPr="002D7CD6" w:rsidRDefault="00CE3740" w:rsidP="00CE3740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C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розрахунку орендної плати за майно </w:t>
      </w:r>
    </w:p>
    <w:p w:rsidR="00AE1DBC" w:rsidRPr="002D7CD6" w:rsidRDefault="00EB4CFA" w:rsidP="00CE3740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C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Музиківської</w:t>
      </w:r>
      <w:r w:rsidR="00CE3740" w:rsidRPr="002D7C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E3740" w:rsidRPr="002D7C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</w:t>
      </w:r>
      <w:r w:rsidR="00E94FC9" w:rsidRPr="002D7C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</w:t>
      </w:r>
      <w:r w:rsidR="00CE3740" w:rsidRPr="002D7C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єднаноїтериторіальної</w:t>
      </w:r>
      <w:proofErr w:type="spellEnd"/>
      <w:r w:rsidR="00CE3740" w:rsidRPr="002D7C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громади</w:t>
      </w:r>
    </w:p>
    <w:p w:rsidR="00CE3740" w:rsidRPr="002D7CD6" w:rsidRDefault="001B7E33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0"/>
          <w:id w:val="-373851418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1"/>
          <w:id w:val="863938611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3"/>
          <w:id w:val="53274474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6"/>
          <w:id w:val="931867106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10"/>
          <w:id w:val="256802379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15"/>
          <w:id w:val="1371492449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21"/>
          <w:id w:val="9959513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27"/>
          <w:id w:val="-812632555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35"/>
          <w:id w:val="103547370"/>
        </w:sdtPr>
        <w:sdtContent/>
      </w:sdt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Методика </w:t>
      </w:r>
      <w:bookmarkStart w:id="1" w:name="_Hlk7014707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розрахунку орендної плати за майно </w:t>
      </w:r>
      <w:r w:rsidR="00EB4CFA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Музиківської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</w:t>
      </w:r>
      <w:r w:rsidR="00E94FC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єднаноїтериторіальної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громади</w:t>
      </w:r>
      <w:bookmarkEnd w:id="1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яке передається в оренду (далі – Методика, громада), розроблена з метою створення єдиного організаційно-економічного механізму справляння плати за оренду цілісних майнових комплексів комунальних підприємств громади, їх структурних підрозділів (філії, цеху, дільниці), в тому числі нерухомого майна (відмінного від земельних ділянок), а також іншого індивідуально визначеного майна, що належить громаді на праві власності (далі – об</w:t>
      </w:r>
      <w:r w:rsidR="00E94FC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єкт оренди).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Методика визначає механізм розрахунку орендної плати за користування об</w:t>
      </w:r>
      <w:r w:rsidR="00E94FC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єктом оренди, що належить до комунальної громади (далі – майно).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Розмір орендної плати визначається згідно з цією Методикою і зазначається у договорі оренди.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 разі визначення орендаря на конкурсних засадах орендна плата, розрахована за цією Методикою, застосовується як стартова, а її розмір може бути збільшено за результатами такого конкурсу.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 випадку використання за іншим цільовим призначенням приміщень, переданих в оренду за результатами вивчення попиту єдиному претенденту, розмір орендної плати встановлюється відповідно до цієї Методики, але не може бути меншим ніж визначено в оголошенні про намір орендодавця передати майно в оренду.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 випадку використання за іншим цільовим призначенням приміщень, переданих в оренду за результатами проведення конкурсу, розмір орендної плати встановлюється відповідно до цієї Методики, але не може бути меншим ніж запропоновано переможцем конкурсу.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До плати за оренду індивідуально визначеного майна не включаються витрати на утримання орендованого майна, плата за землю та плата за послуги, які відповідно до укладених угод зобов</w:t>
      </w:r>
      <w:r w:rsidR="00E94FC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язується надавати орендарю комунальне підприємство, на балансі якого перебуває це 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2"/>
          <w:id w:val="-1613826715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4"/>
          <w:id w:val="2127416018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7"/>
          <w:id w:val="1012344512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11"/>
          <w:id w:val="-209804440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16"/>
          <w:id w:val="551823319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22"/>
          <w:id w:val="-1480610347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28"/>
          <w:id w:val="892702193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36"/>
          <w:id w:val="-1342465428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44"/>
          <w:id w:val="-1878310460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45"/>
          <w:id w:val="1472632742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53"/>
          <w:id w:val="257874414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54"/>
          <w:id w:val="-192623599"/>
        </w:sdtPr>
        <w:sdtContent/>
      </w:sdt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майно.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Орендна плата за цією Методикою розраховується у такій послідовності: </w:t>
      </w:r>
    </w:p>
    <w:p w:rsidR="00CE3740" w:rsidRPr="002D7CD6" w:rsidRDefault="00CE3740" w:rsidP="00CE3740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визначається розмір річної орендної плати;</w:t>
      </w:r>
    </w:p>
    <w:p w:rsidR="00CE3740" w:rsidRPr="002D7CD6" w:rsidRDefault="00CE3740" w:rsidP="00CE3740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основі розміру річної орендної плати встановлюється розмір орендної плати за базовий місяць розрахунку орендної плати – останній місяць, за який визначено індекс інфляції, яка фіксується у договорі оренди;</w:t>
      </w:r>
    </w:p>
    <w:p w:rsidR="00CE3740" w:rsidRPr="002D7CD6" w:rsidRDefault="00CE3740" w:rsidP="00CE3740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 урахуванням розміру орендної плати за базовий місяць оренди розраховується розмір орендної плати за перший та наступні місяці оренди.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 разі коли термін оренди менший чи більший за одну добу або за один місяць, то на основі розміру місячної орендної плати розраховується добова, а в разі необхідності – на основі розміру добової орендної плати розраховується погодинна орендна плата.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Розмір стартової орендної плати за один місяць розраховується на основі розміру річної орендної плати (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визначеної в пунктах 5 та 7, за формулою: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498"/>
      <w:bookmarkEnd w:id="2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Опл.міс1.ст. = 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/ 12,</w:t>
      </w:r>
    </w:p>
    <w:p w:rsidR="00CE3740" w:rsidRPr="002D7CD6" w:rsidRDefault="00CE3740" w:rsidP="00CE37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499"/>
      <w:bookmarkEnd w:id="3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 Опл.міс1.ст. - стартова орендна плата за 1 місяць.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500"/>
      <w:bookmarkEnd w:id="4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Розмір стартової орендної плати за 1 добу визначається за формулою: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" w:name="501"/>
      <w:bookmarkEnd w:id="5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Опл.доб1.ст. = Опл.міс1.ст. / 30 ;</w:t>
      </w:r>
    </w:p>
    <w:p w:rsidR="00CE3740" w:rsidRPr="002D7CD6" w:rsidRDefault="00CE3740" w:rsidP="00CE37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" w:name="502"/>
      <w:bookmarkEnd w:id="6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 Опл.доб1.ст. - стартова орендна плата за 1 добу.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503"/>
      <w:bookmarkEnd w:id="7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Розмір стартової орендної плати за 1 годину визначається за формулою: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504"/>
      <w:bookmarkEnd w:id="8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Опл.го</w:t>
      </w:r>
      <w:r w:rsidR="00E94FC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д1.ст. = Опл.доб1.ст. / 24 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CE3740" w:rsidRPr="002D7CD6" w:rsidRDefault="00CE3740" w:rsidP="00CE37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" w:name="505"/>
      <w:bookmarkEnd w:id="9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 Опл.год1.ст. - стартова орендна плата за 1 годину.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Розрахунок орендної плати за базовий місяць затверджується орендодавцем.</w:t>
      </w:r>
    </w:p>
    <w:p w:rsidR="00CE3740" w:rsidRPr="002D7CD6" w:rsidRDefault="00CE3740" w:rsidP="00130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Розмір річної орендної плати за цілісний майновий комплекс комунального підприємства (його структурного підрозділу) визначається за формулою:</w:t>
      </w:r>
    </w:p>
    <w:p w:rsidR="00CE3740" w:rsidRPr="002D7CD6" w:rsidRDefault="00CE3740" w:rsidP="00CE37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= ((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Внм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х 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Сор.ц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/ 100,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деОпл</w:t>
      </w:r>
      <w:r w:rsidR="0074336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розмір річної орендної плати, грн.;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</w:t>
      </w:r>
      <w:r w:rsidR="0074336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вартість основних засобів за незалежною оцінкою на час оцінки об</w:t>
      </w:r>
      <w:r w:rsidR="00E94FC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єкта оренди, грн.;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Внм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вартість нематеріальних активів за незалежною оцінкою на час оцінки об</w:t>
      </w:r>
      <w:r w:rsidR="00E94FC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єкта оренди, грн.;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Сор.ц</w:t>
      </w:r>
      <w:r w:rsidR="0074336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орендна ставка за використання цілісних майнових комплексів комунальних підприємств (їх структурних підрозділів), визначена згідно з додатком 1.</w:t>
      </w:r>
    </w:p>
    <w:p w:rsidR="00CE3740" w:rsidRPr="002D7CD6" w:rsidRDefault="00CE3740" w:rsidP="00CE3740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Розмір річної орендної плати у разі оренди окремого індивідуально визначеного об</w:t>
      </w:r>
      <w:r w:rsidR="00E94FC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єкта оренди (крім нерухомого) встановлюється за згодою сторін, але не менше як 10 відсотків вартості орендованого майна, визначеної на підставі звіту про оцінку майна, затвердженого у встановленому порядку та чинного на момент укладення договору оренди, а у разі, коли орендарем є 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5"/>
          <w:id w:val="494928118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8"/>
          <w:id w:val="902650782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12"/>
          <w:id w:val="559522011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17"/>
          <w:id w:val="1428075083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23"/>
          <w:id w:val="1084487333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29"/>
          <w:id w:val="2090882395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38"/>
          <w:id w:val="-784580128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47"/>
          <w:id w:val="2031760590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56"/>
          <w:id w:val="582424014"/>
        </w:sdtPr>
        <w:sdtContent/>
      </w:sdt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</w:t>
      </w:r>
      <w:r w:rsidR="00E94FC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єкт мікро- або малого підприємництва, - не менш як 7 відсотків вартості орендованого майна за результатами такої оцінки.</w:t>
      </w:r>
    </w:p>
    <w:p w:rsidR="00CE3740" w:rsidRPr="002D7CD6" w:rsidRDefault="00CE3740" w:rsidP="00CE3740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 разі оренди нерухомого або іншого окремого індивідуально визначеного майна розмір річної орендної плати визначається за формулою, крім об</w:t>
      </w:r>
      <w:r w:rsidR="00E94FC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єктів, за які встановлена орендна плата в розмірі 1 грн. на рік:</w:t>
      </w:r>
    </w:p>
    <w:p w:rsidR="00CE3740" w:rsidRPr="002D7CD6" w:rsidRDefault="00CE3740" w:rsidP="00CE374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= (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Вп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 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Сор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/ 100,</w:t>
      </w:r>
    </w:p>
    <w:p w:rsidR="00CE3740" w:rsidRPr="002D7CD6" w:rsidRDefault="00CE3740" w:rsidP="00CE374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 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Опл-розмір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річної орендної плати, грн.;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Вп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вартість орендованого майна, визначена шляхом проведення незалежної оцінки, грн.;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Сор</w:t>
      </w:r>
      <w:r w:rsidR="0074336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орендна ставка, визначена згідно з додатком 2.</w:t>
      </w:r>
    </w:p>
    <w:p w:rsidR="00CE3740" w:rsidRPr="002D7CD6" w:rsidRDefault="00CE3740" w:rsidP="00CE37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Незалежна оцінка вартості об</w:t>
      </w:r>
      <w:r w:rsidR="00E94FC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єктаорендиповинна враховувати </w:t>
      </w:r>
      <w:r w:rsidR="0074336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його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місцезнаходження і забезпеченість інженерними мережами. Результатинезалежноїоцінкиєчинними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9"/>
          <w:id w:val="1190719757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14"/>
          <w:id w:val="-420035010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20"/>
          <w:id w:val="-1456097940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26"/>
          <w:id w:val="1689724850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33"/>
          <w:id w:val="936799927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41"/>
          <w:id w:val="-909846518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50"/>
          <w:id w:val="1373032580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59"/>
          <w:id w:val="-1054086623"/>
        </w:sdtPr>
        <w:sdtContent/>
      </w:sdt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протягом6 місяціввід дати оцінки, якщо інший термін не передбачено у звіті з незалежної оцінки.</w:t>
      </w:r>
    </w:p>
    <w:p w:rsidR="00CE3740" w:rsidRPr="002D7CD6" w:rsidRDefault="00CE3740" w:rsidP="00CE3740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Витрати на утримання нерухомого майна, зданого в оренду одночасно кільком підприємствам, організаціям, і прибудинкової території, розподіляються між ними залежно від наявності, кількості, потужності, часу роботи електроприладів, систем тепло- і водопостачання, каналізації за спеціальними рахунками, а в неподільній частині </w:t>
      </w:r>
      <w:proofErr w:type="spellStart"/>
      <w:r w:rsidR="0074336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пропорційно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розміру займаної підприємствами, організаціями загальної площі.</w:t>
      </w:r>
    </w:p>
    <w:p w:rsidR="00CE3740" w:rsidRPr="002D7CD6" w:rsidRDefault="00CE3740" w:rsidP="00CE3740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формулою:</w:t>
      </w:r>
    </w:p>
    <w:p w:rsidR="00CE3740" w:rsidRPr="002D7CD6" w:rsidRDefault="00CE3740" w:rsidP="00CE37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Міс=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./12) х 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Ід.о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х 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Ім</w:t>
      </w:r>
      <w:proofErr w:type="spellEnd"/>
    </w:p>
    <w:p w:rsidR="00CE3740" w:rsidRPr="002D7CD6" w:rsidRDefault="00CE3740" w:rsidP="00CE37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n72"/>
      <w:bookmarkStart w:id="11" w:name="n73"/>
      <w:bookmarkEnd w:id="10"/>
      <w:bookmarkEnd w:id="11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 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розмір річної орендної плати, визначений за цією Методикою, гривень; 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Ід.о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- індекс інфляції за період з дати проведення незалежної або стандартизованої оцінки до базового місяця розрахунку орендної плати; </w:t>
      </w:r>
      <w:proofErr w:type="spellStart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Ім</w:t>
      </w:r>
      <w:proofErr w:type="spellEnd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індекс інфляції за базовий місяць розрахунку орендної плати.</w:t>
      </w:r>
    </w:p>
    <w:p w:rsidR="00CE3740" w:rsidRPr="002D7CD6" w:rsidRDefault="00CE3740" w:rsidP="00CE37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n74"/>
      <w:bookmarkEnd w:id="12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оренди.</w:t>
      </w:r>
    </w:p>
    <w:p w:rsidR="00CE3740" w:rsidRPr="002D7CD6" w:rsidRDefault="00CE3740" w:rsidP="00CE3740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місяць.</w:t>
      </w:r>
    </w:p>
    <w:p w:rsidR="00CE3740" w:rsidRPr="002D7CD6" w:rsidRDefault="00CE3740" w:rsidP="00CE3740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Розмір річної орендної плати за оренду нерухомого майна 1 гривня встановлюється таким орендарям:</w:t>
      </w:r>
    </w:p>
    <w:p w:rsidR="00CE3740" w:rsidRPr="002D7CD6" w:rsidRDefault="00CE3740" w:rsidP="00CE37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бюджетним організаціям, які утримуються за рахунок державного бюджету;</w:t>
      </w:r>
    </w:p>
    <w:p w:rsidR="00CE3740" w:rsidRPr="002D7CD6" w:rsidRDefault="00CE3740" w:rsidP="00CE37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bookmarkStart w:id="13" w:name="n173"/>
      <w:bookmarkStart w:id="14" w:name="n161"/>
      <w:bookmarkEnd w:id="13"/>
      <w:bookmarkEnd w:id="14"/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Пенсійному фонду України та його територіальним органам;</w:t>
      </w:r>
      <w:bookmarkStart w:id="15" w:name="n174"/>
      <w:bookmarkStart w:id="16" w:name="n162"/>
      <w:bookmarkEnd w:id="15"/>
      <w:bookmarkEnd w:id="16"/>
    </w:p>
    <w:p w:rsidR="00CE3740" w:rsidRPr="002D7CD6" w:rsidRDefault="00CE3740" w:rsidP="00CE37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Фонду соціального страхування, робочим органам його виконавчої дирекції та їх відділенням;</w:t>
      </w:r>
      <w:bookmarkStart w:id="17" w:name="n175"/>
      <w:bookmarkStart w:id="18" w:name="n163"/>
      <w:bookmarkEnd w:id="17"/>
      <w:bookmarkEnd w:id="18"/>
    </w:p>
    <w:p w:rsidR="00CE3740" w:rsidRPr="002D7CD6" w:rsidRDefault="00CE3740" w:rsidP="00CE37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Державній службі зайнятості (Центральному апарату), регіональним та базовим центрам зайнятості;</w:t>
      </w:r>
      <w:bookmarkStart w:id="19" w:name="n176"/>
      <w:bookmarkStart w:id="20" w:name="n164"/>
      <w:bookmarkEnd w:id="19"/>
      <w:bookmarkEnd w:id="20"/>
    </w:p>
    <w:p w:rsidR="00CE3740" w:rsidRPr="002D7CD6" w:rsidRDefault="00CE3740" w:rsidP="00CE37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державним та комунальним закладам охорони здоров</w:t>
      </w:r>
      <w:r w:rsidR="00E94FC9"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я;</w:t>
      </w:r>
      <w:bookmarkStart w:id="21" w:name="n177"/>
      <w:bookmarkStart w:id="22" w:name="n165"/>
      <w:bookmarkEnd w:id="21"/>
      <w:bookmarkEnd w:id="22"/>
    </w:p>
    <w:p w:rsidR="00CE3740" w:rsidRPr="002D7CD6" w:rsidRDefault="00CE3740" w:rsidP="00CE37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музеям, які утримуються за рахунок державного та місцевих бюджетів;</w:t>
      </w:r>
      <w:bookmarkStart w:id="23" w:name="n178"/>
      <w:bookmarkStart w:id="24" w:name="n166"/>
      <w:bookmarkEnd w:id="23"/>
      <w:bookmarkEnd w:id="24"/>
    </w:p>
    <w:p w:rsidR="00CE3740" w:rsidRPr="002D7CD6" w:rsidRDefault="00CE3740" w:rsidP="00CE37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національним художнім колективам та концертним організаціям, яким надається фінансова підтримка з державного бюджету;</w:t>
      </w:r>
      <w:bookmarkStart w:id="25" w:name="n179"/>
      <w:bookmarkStart w:id="26" w:name="n167"/>
      <w:bookmarkEnd w:id="25"/>
      <w:bookmarkEnd w:id="26"/>
    </w:p>
    <w:p w:rsidR="00CE3740" w:rsidRPr="002D7CD6" w:rsidRDefault="00CE3740" w:rsidP="00CE37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державним та комунальним телерадіоорганізаціям;</w:t>
      </w:r>
      <w:bookmarkStart w:id="27" w:name="n180"/>
      <w:bookmarkStart w:id="28" w:name="n168"/>
      <w:bookmarkEnd w:id="27"/>
      <w:bookmarkEnd w:id="28"/>
    </w:p>
    <w:p w:rsidR="00CE3740" w:rsidRPr="002D7CD6" w:rsidRDefault="00CE3740" w:rsidP="00CE37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редакціям державних і комунальних періодичних видань, періодичних видань, заснованих об</w:t>
      </w:r>
      <w:r w:rsidR="00E94FC9"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єднаннями громадян, державними науково-дослідними установами, закладами освіти, трудовими і журналістськими колективами, підприємствам зв</w:t>
      </w:r>
      <w:r w:rsidR="00E94FC9"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язку, що їх розповсюджують;</w:t>
      </w:r>
      <w:bookmarkStart w:id="29" w:name="n181"/>
      <w:bookmarkStart w:id="30" w:name="n169"/>
      <w:bookmarkEnd w:id="29"/>
      <w:bookmarkEnd w:id="30"/>
    </w:p>
    <w:p w:rsidR="00CE3740" w:rsidRPr="002D7CD6" w:rsidRDefault="00CE3740" w:rsidP="00CE37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Товариству Червоного Хреста України та його місцевим організаціям;</w:t>
      </w:r>
      <w:bookmarkStart w:id="31" w:name="n182"/>
      <w:bookmarkStart w:id="32" w:name="n170"/>
      <w:bookmarkEnd w:id="31"/>
      <w:bookmarkEnd w:id="32"/>
    </w:p>
    <w:p w:rsidR="00CE3740" w:rsidRPr="002D7CD6" w:rsidRDefault="00CE3740" w:rsidP="00CE37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юридичним та фізичним особам для облаштування у закладах охорони здоров</w:t>
      </w:r>
      <w:r w:rsidR="00E94FC9"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кімнат відпочинку (сімейних кімнат) для перебування в них на безоплатній основі осіб, які перебувають на лікуванні у цьому закладі, та членів їх сімей (під час лікування таких осіб);</w:t>
      </w:r>
      <w:bookmarkStart w:id="33" w:name="n183"/>
      <w:bookmarkStart w:id="34" w:name="n171"/>
      <w:bookmarkEnd w:id="33"/>
      <w:bookmarkEnd w:id="34"/>
    </w:p>
    <w:p w:rsidR="00CE3740" w:rsidRPr="002D7CD6" w:rsidRDefault="00CE3740" w:rsidP="00CE37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асоціаціям органів місцевого самоврядування із всеукраїнським статусом;</w:t>
      </w:r>
      <w:bookmarkStart w:id="35" w:name="n184"/>
      <w:bookmarkStart w:id="36" w:name="n172"/>
      <w:bookmarkEnd w:id="35"/>
      <w:bookmarkEnd w:id="36"/>
    </w:p>
    <w:p w:rsidR="00CE3740" w:rsidRPr="002D7CD6" w:rsidRDefault="00CE3740" w:rsidP="00CE374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особам з інвалідністю з метою використання під гаражі для спеціальних засобів пересування.</w:t>
      </w:r>
    </w:p>
    <w:p w:rsidR="00CE3740" w:rsidRPr="002D7CD6" w:rsidRDefault="00CE3740" w:rsidP="00CE37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7" w:name="n159"/>
      <w:bookmarkStart w:id="38" w:name="n149"/>
      <w:bookmarkEnd w:id="37"/>
      <w:bookmarkEnd w:id="38"/>
    </w:p>
    <w:p w:rsidR="00CE3740" w:rsidRPr="002D7CD6" w:rsidRDefault="00CE3740" w:rsidP="00CE374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9" w:name="551"/>
      <w:bookmarkEnd w:id="39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Індексація річної 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19"/>
          <w:id w:val="809750830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25"/>
          <w:id w:val="1012649278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32"/>
          <w:id w:val="574857850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40"/>
          <w:id w:val="2020741148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49"/>
          <w:id w:val="1272205929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58"/>
          <w:id w:val="-300070804"/>
        </w:sdtPr>
        <w:sdtContent/>
      </w:sdt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орендної плати проводиться один раз на рік на підставі річних індексів інфляції у строки, визначені договором оренди.</w:t>
      </w:r>
    </w:p>
    <w:p w:rsidR="00CE3740" w:rsidRPr="002D7CD6" w:rsidRDefault="00CE3740" w:rsidP="00CE3740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0" w:name="552"/>
      <w:bookmarkEnd w:id="40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Орендна плата у розмірі, встановленому згідно з п. 11 цієї Методики, не застосовується у разі оренди нерухомого майна для розміщення засобів масової інформації:</w:t>
      </w:r>
    </w:p>
    <w:p w:rsidR="00CE3740" w:rsidRPr="002D7CD6" w:rsidRDefault="00CE3740" w:rsidP="00743369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1" w:name="553"/>
      <w:bookmarkEnd w:id="41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рекламного та еротичного характеру;</w:t>
      </w:r>
    </w:p>
    <w:p w:rsidR="00CE3740" w:rsidRPr="002D7CD6" w:rsidRDefault="00CE3740" w:rsidP="007433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2" w:name="554"/>
      <w:bookmarkEnd w:id="42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заснованих в Україні міжнародними організаціями або за участю юридичних чи фізичних осіб інших держав, осіб без громадянства;</w:t>
      </w:r>
    </w:p>
    <w:p w:rsidR="00CE3740" w:rsidRPr="002D7CD6" w:rsidRDefault="00CE3740" w:rsidP="007433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3" w:name="555"/>
      <w:bookmarkEnd w:id="43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яких понад 50 відсотків загального обсягу випуску становлять матеріали зарубіжних засобів масової інформації;</w:t>
      </w:r>
    </w:p>
    <w:p w:rsidR="00CE3740" w:rsidRPr="002D7CD6" w:rsidRDefault="00CE3740" w:rsidP="007433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4" w:name="556"/>
      <w:bookmarkEnd w:id="44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заснованих за участю юридичних або фізичних осіб, до сфери діяльності яких належить виробництво та постачання паперу, поліграфічного обладнання, технічних засобів мовлення.</w:t>
      </w:r>
    </w:p>
    <w:p w:rsidR="00CE3740" w:rsidRPr="002D7CD6" w:rsidRDefault="00CE3740" w:rsidP="00CE3740">
      <w:pPr>
        <w:tabs>
          <w:tab w:val="num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3740" w:rsidRPr="002D7CD6" w:rsidRDefault="00CE3740" w:rsidP="00CE3740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Терміни внесення орендної плати визначаються у договорі.</w:t>
      </w:r>
    </w:p>
    <w:p w:rsidR="00CE3740" w:rsidRPr="002D7CD6" w:rsidRDefault="00CE3740" w:rsidP="00CE3740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Суми оренд</w:t>
      </w:r>
      <w:r w:rsidR="0074336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ної плати, зайво перераховані 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орендодавцеві, зараховуються в рахунок наступних платежів або повертаються платникові в 5-денний термін від дня одержання його письмової заяви.</w:t>
      </w:r>
    </w:p>
    <w:p w:rsidR="00CE3740" w:rsidRPr="002D7CD6" w:rsidRDefault="00CE3740" w:rsidP="00CE3740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Розмір плати за суборенду нерухомого та іншого окремого індивідуально визначеного майна розраховується в порядку, встановленому цією Методикою для розрахунку розміру плати за оренду зазначеного майна.</w:t>
      </w:r>
    </w:p>
    <w:p w:rsidR="00CE3740" w:rsidRPr="002D7CD6" w:rsidRDefault="00CE3740" w:rsidP="00CE3740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5" w:name="n97"/>
      <w:bookmarkEnd w:id="45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Орендна плата за нерухоме майно, що передається в суборенду, визначається з урахуванням частки вартості такого майна у загальній вартості орендованого майна у цінах, застосованих при визначенні розміру орендної плати, і погоджується з орендодавцем.</w:t>
      </w:r>
    </w:p>
    <w:p w:rsidR="00CE3740" w:rsidRPr="002D7CD6" w:rsidRDefault="00CE3740" w:rsidP="00CE3740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6" w:name="n98"/>
      <w:bookmarkEnd w:id="46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 разі суборенди приміщення у будівлі, що входить до складу цілісного майнового комплексу, орендна плата за таке приміщення визначається з урахуванням частки вартості такого приміщення у загальній вартості відповідної будівлі та частки вартості зазначеної будівлі у загальній вартості орендованих основних засобів цілісного майнового комплексу.</w:t>
      </w:r>
    </w:p>
    <w:p w:rsidR="00CE3740" w:rsidRPr="002D7CD6" w:rsidRDefault="00CE3740" w:rsidP="00CE3740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7" w:name="n99"/>
      <w:bookmarkEnd w:id="47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Плата за суборенду майна у частині, що не перевищує орендної плати за майно, що передається в суборенду, сплачується орендарю, який передає в суборенду орендоване ним майно.</w:t>
      </w:r>
    </w:p>
    <w:p w:rsidR="00250527" w:rsidRPr="002D7CD6" w:rsidRDefault="00CE3740" w:rsidP="00250527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8" w:name="n100"/>
      <w:bookmarkEnd w:id="48"/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Різниця між нарахованою платою за перший місяць суборенди та тією її частиною, що отримує орендар, погоджується з орендодавцем і перераховується орендарем до бюджету</w:t>
      </w:r>
      <w:r w:rsidR="00743369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громади</w:t>
      </w: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bookmarkStart w:id="49" w:name="n101"/>
      <w:bookmarkEnd w:id="49"/>
    </w:p>
    <w:p w:rsidR="00250527" w:rsidRPr="002D7CD6" w:rsidRDefault="00CE3740" w:rsidP="001C4E0D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Різниця між нарахованою платою за кожний наступний місяць суборенди і тією її частиною, що отримує орендар, визначається шляхом коригування різниці за попередній місяць на індекс інфляції за поточний місяць.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31"/>
          <w:id w:val="-1454013544"/>
        </w:sdtPr>
        <w:sdtContent/>
      </w:sdt>
      <w:r w:rsidR="00250527"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250527" w:rsidRPr="002D7CD6" w:rsidRDefault="00250527" w:rsidP="00CE3740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Додаток 1</w:t>
      </w:r>
    </w:p>
    <w:p w:rsidR="00CE3740" w:rsidRPr="002D7CD6" w:rsidRDefault="00CE3740" w:rsidP="00CE3740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до Методики розрахунку орендної плати за майно </w:t>
      </w:r>
      <w:proofErr w:type="spellStart"/>
      <w:r w:rsidR="00EB4CFA" w:rsidRP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Музиківської</w:t>
      </w:r>
      <w:r w:rsidRP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</w:t>
      </w:r>
      <w:r w:rsidR="00E94FC9" w:rsidRP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єднаної</w:t>
      </w:r>
      <w:proofErr w:type="spellEnd"/>
      <w:r w:rsidRP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територіальної громади </w:t>
      </w:r>
    </w:p>
    <w:p w:rsidR="00CE3740" w:rsidRPr="002D7CD6" w:rsidRDefault="00CE3740" w:rsidP="00CE3740">
      <w:pPr>
        <w:tabs>
          <w:tab w:val="center" w:pos="4153"/>
          <w:tab w:val="right" w:pos="9214"/>
        </w:tabs>
        <w:spacing w:after="0" w:line="240" w:lineRule="auto"/>
        <w:ind w:left="4962" w:right="-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3740" w:rsidRPr="002D7CD6" w:rsidRDefault="00CE3740" w:rsidP="00CE3740">
      <w:pPr>
        <w:tabs>
          <w:tab w:val="center" w:pos="4153"/>
          <w:tab w:val="right" w:pos="9214"/>
        </w:tabs>
        <w:spacing w:after="0" w:line="240" w:lineRule="auto"/>
        <w:ind w:right="-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3740" w:rsidRPr="002D7CD6" w:rsidRDefault="00DC5227" w:rsidP="00CE3740">
      <w:pPr>
        <w:shd w:val="clear" w:color="auto" w:fill="FFFFFF"/>
        <w:spacing w:after="0" w:line="240" w:lineRule="auto"/>
        <w:ind w:left="284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D7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ОРЕНДНІ СТАВКИ</w:t>
      </w:r>
      <w:r w:rsidR="00CE3740" w:rsidRPr="002D7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740" w:rsidRPr="002D7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використання цілісних майнових комплексів комунальних підприємств</w:t>
      </w:r>
    </w:p>
    <w:p w:rsidR="00CE3740" w:rsidRPr="002D7CD6" w:rsidRDefault="00CE3740" w:rsidP="00CE3740">
      <w:pPr>
        <w:shd w:val="clear" w:color="auto" w:fill="FFFFFF"/>
        <w:spacing w:after="0" w:line="240" w:lineRule="auto"/>
        <w:ind w:left="284" w:right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9"/>
        <w:gridCol w:w="1643"/>
      </w:tblGrid>
      <w:tr w:rsidR="00DB2822" w:rsidRPr="002D7CD6" w:rsidTr="00E94FC9"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0" w:name="n106"/>
            <w:bookmarkEnd w:id="50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Орендна ставка, відсотків</w:t>
            </w:r>
          </w:p>
        </w:tc>
      </w:tr>
      <w:tr w:rsidR="00DB2822" w:rsidRPr="002D7CD6" w:rsidTr="00E94FC9"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Цілісні майнові комплекси підприємств:</w:t>
            </w:r>
          </w:p>
        </w:tc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тютюнової промисловості, </w:t>
            </w:r>
            <w:proofErr w:type="spellStart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лікерогорілчаної</w:t>
            </w:r>
            <w:proofErr w:type="spellEnd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виноробної промисловості, радгоспів заводів (що виробляють виноробну продукцію)</w:t>
            </w:r>
          </w:p>
        </w:tc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DB2822" w:rsidRPr="002D7CD6" w:rsidTr="00E94FC9"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 виробництва електричного та електронного </w:t>
            </w:r>
            <w:proofErr w:type="spellStart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устатковання</w:t>
            </w:r>
            <w:proofErr w:type="spellEnd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деревини та виробів з деревини, меблів, з організації концертно-видовищної діяльності та виставкової діяльності, ресторанів, морського, залізничного та автомобільного транспорту, торгівлі, випуску лотерейних білетів та проведення лотерей, кольорової металургії, нафтогазодобувної промисловості</w:t>
            </w:r>
          </w:p>
        </w:tc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DB2822" w:rsidRPr="002D7CD6" w:rsidTr="00E94FC9"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електроенергетики, газової, хімічної і нафтохімічної промисловості, чорної металургії, зв'язку, швейної та текстильної промисловості, ресторанного господарства (крім ресторанів), з виробництва транспортних засобів, </w:t>
            </w:r>
            <w:proofErr w:type="spellStart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устатковання</w:t>
            </w:r>
            <w:proofErr w:type="spellEnd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їх ремонту, виробництва машин та </w:t>
            </w:r>
            <w:proofErr w:type="spellStart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устатковання</w:t>
            </w:r>
            <w:proofErr w:type="spellEnd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призначеного для механічного, термічного оброблення матеріалів або здійснення інших операцій, з виробництва гумових та пластмасових виробів, лісового господарства, рибного господарства, целюлозно-паперової промисловості, переробки відходів, видобування неенергетичних матеріалів, з надання додаткових транспортних послуг та допоміжних операцій, паливної промисловості, побутового обслуговування</w:t>
            </w:r>
          </w:p>
        </w:tc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DB2822" w:rsidRPr="002D7CD6" w:rsidTr="00E94FC9"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сільського господарства, харчової промисловості (крім лікеро-горілчаної та виноробної промисловості), радгоспів-заводів, крім тих, що виробляють виноробну продукцію), металообробки, освіти, науки та охорони здоров'я, легкої (крім швейної та текстильної) промисловості, з виробництва будівельних матеріалів</w:t>
            </w:r>
          </w:p>
        </w:tc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E94FC9" w:rsidRPr="002D7CD6" w:rsidTr="00E94FC9"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Інші об'єкти</w:t>
            </w:r>
          </w:p>
        </w:tc>
        <w:tc>
          <w:tcPr>
            <w:tcW w:w="0" w:type="auto"/>
            <w:shd w:val="clear" w:color="auto" w:fill="auto"/>
            <w:hideMark/>
          </w:tcPr>
          <w:p w:rsidR="00E94FC9" w:rsidRPr="002D7CD6" w:rsidRDefault="00E94FC9" w:rsidP="00E94F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</w:tbl>
    <w:p w:rsidR="00CE3740" w:rsidRPr="002D7CD6" w:rsidRDefault="00CE3740" w:rsidP="00CE374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3740" w:rsidRPr="002D7CD6" w:rsidRDefault="00CE3740" w:rsidP="00CE3740">
      <w:pPr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CE3740" w:rsidRPr="002D7CD6" w:rsidRDefault="00CE3740" w:rsidP="00CE3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00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26F32" w:rsidRPr="002D7CD6" w:rsidRDefault="001B7E33" w:rsidP="00E2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00"/>
        </w:tabs>
        <w:spacing w:after="0" w:line="240" w:lineRule="auto"/>
        <w:ind w:left="496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34"/>
          <w:id w:val="29241046"/>
        </w:sdtPr>
        <w:sdtContent/>
      </w:sdt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ag w:val="goog_rdk_42"/>
          <w:id w:val="470328637"/>
        </w:sdtPr>
        <w:sdtContent/>
      </w:sdt>
      <w:r w:rsidR="00E26F32" w:rsidRP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Додаток 2</w:t>
      </w:r>
    </w:p>
    <w:p w:rsidR="00CE3740" w:rsidRPr="002D7CD6" w:rsidRDefault="00CE3740" w:rsidP="00DC5227">
      <w:pPr>
        <w:spacing w:after="0" w:line="240" w:lineRule="auto"/>
        <w:ind w:left="496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 Методики розрахунку орендної плати за майно</w:t>
      </w:r>
      <w:r w:rsid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4CFA" w:rsidRP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Музиківської</w:t>
      </w:r>
      <w:r w:rsid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</w:t>
      </w:r>
      <w:r w:rsidR="00E94FC9" w:rsidRP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’</w:t>
      </w:r>
      <w:r w:rsidRPr="002D7C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єднаної територіальної громади</w:t>
      </w:r>
    </w:p>
    <w:p w:rsidR="00CE3740" w:rsidRPr="002D7CD6" w:rsidRDefault="00CE3740" w:rsidP="00CE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5227" w:rsidRPr="002D7CD6" w:rsidRDefault="00DC5227" w:rsidP="00CE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5227" w:rsidRPr="002D7CD6" w:rsidRDefault="00DC5227" w:rsidP="00CE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7C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ОРЕНДНІ СТАВКИ</w:t>
      </w:r>
    </w:p>
    <w:p w:rsidR="00CE3740" w:rsidRPr="002D7CD6" w:rsidRDefault="00CE3740" w:rsidP="00DC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7C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</w:t>
      </w:r>
      <w:r w:rsidR="00DC5227" w:rsidRPr="002D7C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використання нерухомого майна</w:t>
      </w:r>
    </w:p>
    <w:p w:rsidR="00CE3740" w:rsidRPr="002D7CD6" w:rsidRDefault="00CE3740" w:rsidP="00CE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9"/>
        <w:gridCol w:w="1723"/>
      </w:tblGrid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Використання орендарем нерухомого майна за цільовим призначенням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Орендна ставка, відсотків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Розміщення пунктів продажу лотерейних білетів, пунктів обміну валюти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фінансових установ, ломбардів, бірж, брокерських, дилерських, маклерських, </w:t>
            </w:r>
            <w:proofErr w:type="spellStart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рієлторських</w:t>
            </w:r>
            <w:proofErr w:type="spellEnd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контор (агентств нерухомості), банкоматів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ресторанів з нічним режимом роботи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торговельних об’єктів з продажу ювелірних виробів, виробів з дорогоцінних металів та дорогоцінного каміння, антикваріату, зброї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офісних приміщень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виробників реклами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салонів краси, саун, турецьких лазень, соляріїв, кабінетів масажу, тренажерних залів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торговельних об’єктів з продажу автомобілів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зовнішньої реклами на будівлях і спорудах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Організація концертів та іншої видовищно-розважальної діяльності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Розміщення суб’єктів господарювання, що провадять </w:t>
            </w:r>
            <w:proofErr w:type="spellStart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туроператорську</w:t>
            </w:r>
            <w:proofErr w:type="spellEnd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турагентську</w:t>
            </w:r>
            <w:proofErr w:type="spellEnd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діяльність, готелів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Розміщення суб’єктів господарювання, що провадять діяльність з ремонту об’єктів нерухомості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клірингових установ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майстерень, що здійснюють технічне обслуговування та ремонт автомобілів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майстерень з ремонту ювелірних виробів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ресторанів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приватних закладів охорони здоров’я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суб’єктів господарювання, що діють на основі приватної власності і провадять господарську діяльність з медичної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розміщення торговельних об’єктів з продажу окулярів, лінз, скелець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суб’єктів господарювання, що провадять діяльність у сфері права, бухгалтерського обліку та оподаткування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редакцій засобів масової інформації: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рекламного та еротичного характеру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тих, що засновані в Україні міжнародними організаціями або за участю юридичних чи фізичних осіб інших держав, осіб без громадянства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тих, де понад 50 відсотків загального обсягу випуску становлять матеріали іноземних засобів масової інформації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тих, що засновані за участю суб’єктів господарювання, одним із видів діяльності яких є виробництво та постачання паперу, поліграфічного обладнання, технічних засобів мовлення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крамниць-складів, магазинів-складів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турбаз, мотелів, кемпінгів, літніх будиночків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торговельних об’єктів з продажу: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непродовольчих товарів, алкогольних та тютюнових виробів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промислових товарів, що були у використанні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автотоварів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відео-</w:t>
            </w:r>
            <w:proofErr w:type="spellEnd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аудіопродукції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офісних приміщень, крім офісних приміщень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технічних засобів і антен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Розміщення фізкультурно-спортивних закладів, діяльність яких спрямована на організацію та проведення занять різними видами спорту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суб’єктів господарювання, що надають послуги, пов’язані з переказом грошей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бірж, що мають статус неприбуткових організацій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кафе, барів, закусочних, буфетів, кафетеріїв, що здійснюють продаж товарів підакцизної групи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ветеринарних лікарень (клінік), лабораторій ветеринарної медицини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суб’єктів господарювання, що провадять діяльність з організації шлюбних знайомств та весіль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суб’єктів господарювання, що провадять діяльність з вирощування квітів, грибів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закладів ресторанного господарства з постачання страв, приготовлених централізовано для споживання в інших місцях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суб’єктів господарювання, що надають послуги з утримання домашніх тварин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суб’єктів господарювання, що діють на основі приватної власності і надають послуги з перевезення та доставки (вручення) поштових відправлень (кур’єрська служба)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стоянок для автомобілів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комп’ютерних клубів та інтернет-кафе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ветеринарних аптек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рибних господарств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приватних закладів освіти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шкіл, курсів з навчання водіїв автомобілів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торговельних об’єктів з продажу книг, газет і журналів, виданих іноземними мовами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суб’єктів господарювання, що здійснюють проектні, проектно-вишукувальні, проектно-конструкторські роботи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видавництв друкованих засобів масової інформації та видавничої продукції, що друкуються іноземними мовами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редакцій засобів масової інформації, крім зазначених у пункті 11 Методики та пункті 7 цього додатка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суб’єктів кінематографії, основною діяльністю яких є кіновиробництво або технічне забезпечення і обслуговування кіновиробництва за умови, що вони внесені до Державного реєстру виробників, розповсюджувачів і демонстраторів фільмів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інформаційних агентств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 Проведення виставок непродовольчих товарів без здійснення торгівлі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 Розміщення торговельних автоматів, що відпускають продовольчі товари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кафе, барів, закусочних, кафетеріїв, які не здійснюють продаж товарів підакцизної групи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аптек, що реалізують готові ліки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торговельних об’єктів з продажу продовольчих товарів, крім товарів підакцизної групи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торговельних об’єктів з продажу ортопедичних виробів;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ксерокопіювальної</w:t>
            </w:r>
            <w:proofErr w:type="spellEnd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техніки для надання населенню послуг із ксерокопіювання документів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 Проведення виставок образотворчої та книжкової продукції, виробленої в Україні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їдалень, буфетів, які не здійснюють продаж товарів підакцизної групи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фірмових магазинів вітчизняних промислових підприємств-товаровиробників, крім тих, що виробляють товари підакцизної групи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об’єктів поштового зв’язку на площі, що використовується для надання послуг поштового зв’язку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суб’єктів господарювання, що надають послуги з перевезення та доставки (вручення) поштових відправлень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торговельних об’єктів з продажу поліграфічної продукції та канцтоварів, ліцензованої </w:t>
            </w:r>
            <w:proofErr w:type="spellStart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відео-</w:t>
            </w:r>
            <w:proofErr w:type="spellEnd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аудіопродукції</w:t>
            </w:r>
            <w:proofErr w:type="spellEnd"/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що призначається для закладів освіти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комунальних закладів охорони здоров’я, що частково фінансуються за рахунок місцевих бюджетів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оздоровчих закладів для дітей та молоді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санаторно-курортних закладів для дітей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торговельних об’єктів з продажу книг, газет і журналів, виданих українською мовою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відділень банків на площі, що використовується для здійснення платежів за житлово-комунальні послуги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суб’єктів господарювання, що здійснюють побутове обслуговування населення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їдалень, буфетів, які не здійснюють продаж товарів підакцизної групи, у закладах освіти та військових частинах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громадських вбиралень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камер схову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видавництв друкованих засобів масової інформації та видавничої продукції, що видаються українською мовою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аптек на площі, що використовується для виготовлення ліків за рецептами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суб’єктів господарювання, що надають ритуальні послуги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gridSpan w:val="2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 місцевого самоврядування та їх добровільних об’єднань (крім асоціацій органів місцевого самоврядування із всеукраїнським статусом)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науково-дослідних установ, крім бюджетних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аптек, які обслуговують пільгові категорії населення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організацій, що надають послуги з нагляду за особами з фізичними чи розумовими вадами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бібліотек, архівів, музеїв, крім музеїв, які утримуються за рахунок місцевих бюджетів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дитячих молочних кухонь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торговельних об’єктів з продажу продовольчих товарів для пільгових категорій громадян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 Розміщення: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закладів соціального захисту для бездомних громадян, безпритульних дітей та установ, призначених для тимчасового або постійного перебування громадян похилого віку та осіб з інвалідністю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комунальних закладів позашкільної освіти (крім оздоровчих закладів для дітей та молоді) та закладів дошкільної освіти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закладів соціального обслуговування для сімей, дітей та молоді, що утримуються за рахунок місцевого бюджету, зокрема центрів соціально-психологічної реабілітації дітей, соціальних гуртожитків для дітей-сиріт та дітей, позбавлених батьківського піклування, соціальних центрів матері та дитини, центрів соціально-психологічної допомоги, центрів реабілітації дітей та молоді з функціональними обмеженнями, центрів для ВІЛ-інфікованих дітей та молоді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 Розміщення транспортних підприємств з: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перевезення пасажирів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перевезення вантажів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 Розміщення творчих спілок, громадських об’єднань, релігійних та благодійних організацій на площі, що не використовується для провадження підприємницької діяльності і становить: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більш як 50 кв. метрів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частини площі, що перевищує 50 кв. метрів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 Розміщення громадських об’єднань осіб з інвалідністю на площі, що не використовується для провадження підприємницької діяльності і становить: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більш як 100 кв. метрів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частини площі, що перевищує 100 кв. метрів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</w:t>
            </w:r>
            <w:r w:rsidRPr="002D7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-1</w:t>
            </w: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Розміщення суб’єктів господарювання, що виготовляють рухомий склад міського електротранспорту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2D7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-2</w:t>
            </w: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Розміщення наукового парку, його засновників, партнерів наукового парку, що реалізують проекти наукового парку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2D7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-3</w:t>
            </w: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Розміщення дипломатичних представництв та консульських установ іноземних держав, представництв міжнародних міжурядових організацій в Україні (крім договорів, орендна плата за якими врегульована міжурядовими угодами)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 Інше використання нерухомого майна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 Розміщення професійних творчих працівників на площі (творчі майстерні), що не використовується для провадження підприємницької діяльності і становить: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більш як 50 кв. метрів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2822" w:rsidRPr="002D7CD6" w:rsidTr="00E94FC9"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частини площі, що перевищує 50 кв. метрів</w:t>
            </w:r>
          </w:p>
        </w:tc>
        <w:tc>
          <w:tcPr>
            <w:tcW w:w="0" w:type="auto"/>
            <w:shd w:val="clear" w:color="auto" w:fill="FFFFFF"/>
            <w:hideMark/>
          </w:tcPr>
          <w:p w:rsidR="00E94FC9" w:rsidRPr="002D7CD6" w:rsidRDefault="00E94FC9" w:rsidP="00E94FC9">
            <w:pPr>
              <w:spacing w:after="0" w:line="240" w:lineRule="auto"/>
              <w:ind w:left="239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CE3740" w:rsidRPr="002D7CD6" w:rsidRDefault="00CE3740" w:rsidP="00CE3740">
      <w:pPr>
        <w:tabs>
          <w:tab w:val="center" w:pos="4153"/>
          <w:tab w:val="right" w:pos="921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3740" w:rsidRPr="002D7CD6" w:rsidRDefault="00CE3740" w:rsidP="00CE3740">
      <w:pPr>
        <w:tabs>
          <w:tab w:val="center" w:pos="680"/>
          <w:tab w:val="center" w:pos="4153"/>
          <w:tab w:val="right" w:pos="830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3740" w:rsidRPr="002D7CD6" w:rsidRDefault="00CE3740" w:rsidP="00CE3740">
      <w:pPr>
        <w:tabs>
          <w:tab w:val="center" w:pos="680"/>
          <w:tab w:val="center" w:pos="4153"/>
          <w:tab w:val="right" w:pos="830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1DBC" w:rsidRPr="002D7CD6" w:rsidRDefault="00AE1DBC" w:rsidP="00AE1D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1DBC" w:rsidRPr="002D7CD6" w:rsidSect="002D7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5F42"/>
    <w:multiLevelType w:val="hybridMultilevel"/>
    <w:tmpl w:val="5ECE70B8"/>
    <w:lvl w:ilvl="0" w:tplc="08F0567C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05DA3"/>
    <w:multiLevelType w:val="hybridMultilevel"/>
    <w:tmpl w:val="FD44A368"/>
    <w:lvl w:ilvl="0" w:tplc="08F0567C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D31EE"/>
    <w:multiLevelType w:val="hybridMultilevel"/>
    <w:tmpl w:val="68C0F0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24E42"/>
    <w:multiLevelType w:val="hybridMultilevel"/>
    <w:tmpl w:val="1A5A5A38"/>
    <w:lvl w:ilvl="0" w:tplc="08F0567C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3D5876"/>
    <w:multiLevelType w:val="hybridMultilevel"/>
    <w:tmpl w:val="E7F2B90A"/>
    <w:lvl w:ilvl="0" w:tplc="08F0567C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4307A7"/>
    <w:multiLevelType w:val="hybridMultilevel"/>
    <w:tmpl w:val="A87E97A6"/>
    <w:lvl w:ilvl="0" w:tplc="08F0567C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771368"/>
    <w:multiLevelType w:val="hybridMultilevel"/>
    <w:tmpl w:val="AF52768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B11DB"/>
    <w:multiLevelType w:val="hybridMultilevel"/>
    <w:tmpl w:val="7226A182"/>
    <w:lvl w:ilvl="0" w:tplc="08F0567C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7C5176"/>
    <w:multiLevelType w:val="hybridMultilevel"/>
    <w:tmpl w:val="CD8E4ADA"/>
    <w:lvl w:ilvl="0" w:tplc="08F056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C46F3"/>
    <w:multiLevelType w:val="hybridMultilevel"/>
    <w:tmpl w:val="936AF3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A70D9"/>
    <w:multiLevelType w:val="hybridMultilevel"/>
    <w:tmpl w:val="1366AF66"/>
    <w:lvl w:ilvl="0" w:tplc="08F0567C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657501"/>
    <w:multiLevelType w:val="hybridMultilevel"/>
    <w:tmpl w:val="F22AD1D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D4006F"/>
    <w:multiLevelType w:val="hybridMultilevel"/>
    <w:tmpl w:val="1BDAE930"/>
    <w:lvl w:ilvl="0" w:tplc="C762898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BC47A64"/>
    <w:multiLevelType w:val="hybridMultilevel"/>
    <w:tmpl w:val="4748F186"/>
    <w:lvl w:ilvl="0" w:tplc="08F0567C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8B3924"/>
    <w:multiLevelType w:val="hybridMultilevel"/>
    <w:tmpl w:val="AB402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4D0DF2"/>
    <w:multiLevelType w:val="hybridMultilevel"/>
    <w:tmpl w:val="48DC971E"/>
    <w:lvl w:ilvl="0" w:tplc="C7628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14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919"/>
    <w:rsid w:val="00035C69"/>
    <w:rsid w:val="00106018"/>
    <w:rsid w:val="00112981"/>
    <w:rsid w:val="00130C60"/>
    <w:rsid w:val="001B7E33"/>
    <w:rsid w:val="002403AC"/>
    <w:rsid w:val="00250527"/>
    <w:rsid w:val="002D7CD6"/>
    <w:rsid w:val="002F0AC6"/>
    <w:rsid w:val="0032203B"/>
    <w:rsid w:val="00343284"/>
    <w:rsid w:val="00350662"/>
    <w:rsid w:val="004C7122"/>
    <w:rsid w:val="00535BD5"/>
    <w:rsid w:val="00576BB1"/>
    <w:rsid w:val="005B2842"/>
    <w:rsid w:val="005D194E"/>
    <w:rsid w:val="005E0896"/>
    <w:rsid w:val="006150C9"/>
    <w:rsid w:val="006629F6"/>
    <w:rsid w:val="00727919"/>
    <w:rsid w:val="00743369"/>
    <w:rsid w:val="0077123B"/>
    <w:rsid w:val="007808F3"/>
    <w:rsid w:val="007C2660"/>
    <w:rsid w:val="007F4725"/>
    <w:rsid w:val="00842157"/>
    <w:rsid w:val="00857415"/>
    <w:rsid w:val="00870A60"/>
    <w:rsid w:val="008A582F"/>
    <w:rsid w:val="00906C53"/>
    <w:rsid w:val="009564C3"/>
    <w:rsid w:val="00A31A2A"/>
    <w:rsid w:val="00A341CB"/>
    <w:rsid w:val="00AE1DBC"/>
    <w:rsid w:val="00B452FB"/>
    <w:rsid w:val="00B54D0E"/>
    <w:rsid w:val="00BA0333"/>
    <w:rsid w:val="00BA4D61"/>
    <w:rsid w:val="00BB50FF"/>
    <w:rsid w:val="00BF3534"/>
    <w:rsid w:val="00C271DD"/>
    <w:rsid w:val="00CC5312"/>
    <w:rsid w:val="00CE3740"/>
    <w:rsid w:val="00D44D28"/>
    <w:rsid w:val="00DB2822"/>
    <w:rsid w:val="00DC5227"/>
    <w:rsid w:val="00DF13A7"/>
    <w:rsid w:val="00E10104"/>
    <w:rsid w:val="00E26F32"/>
    <w:rsid w:val="00E45CD3"/>
    <w:rsid w:val="00E94FC9"/>
    <w:rsid w:val="00EB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B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E3740"/>
    <w:rPr>
      <w:sz w:val="16"/>
      <w:szCs w:val="16"/>
    </w:rPr>
  </w:style>
  <w:style w:type="paragraph" w:customStyle="1" w:styleId="1">
    <w:name w:val="Текст примітки1"/>
    <w:basedOn w:val="a"/>
    <w:next w:val="a5"/>
    <w:link w:val="a6"/>
    <w:uiPriority w:val="99"/>
    <w:semiHidden/>
    <w:unhideWhenUsed/>
    <w:rsid w:val="00CE3740"/>
    <w:pPr>
      <w:spacing w:after="200" w:line="240" w:lineRule="auto"/>
    </w:pPr>
    <w:rPr>
      <w:sz w:val="20"/>
      <w:szCs w:val="20"/>
      <w:lang w:val="ru-RU"/>
    </w:rPr>
  </w:style>
  <w:style w:type="character" w:customStyle="1" w:styleId="a6">
    <w:name w:val="Текст примітки Знак"/>
    <w:basedOn w:val="a0"/>
    <w:link w:val="1"/>
    <w:uiPriority w:val="99"/>
    <w:semiHidden/>
    <w:rsid w:val="00CE3740"/>
    <w:rPr>
      <w:sz w:val="20"/>
      <w:szCs w:val="20"/>
      <w:lang w:val="ru-RU"/>
    </w:rPr>
  </w:style>
  <w:style w:type="paragraph" w:styleId="a5">
    <w:name w:val="annotation text"/>
    <w:basedOn w:val="a"/>
    <w:link w:val="a7"/>
    <w:uiPriority w:val="99"/>
    <w:semiHidden/>
    <w:unhideWhenUsed/>
    <w:rsid w:val="00CE37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5"/>
    <w:uiPriority w:val="99"/>
    <w:semiHidden/>
    <w:rsid w:val="00CE37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3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13754</Words>
  <Characters>7840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Бризіцький</dc:creator>
  <cp:keywords/>
  <dc:description/>
  <cp:lastModifiedBy>КОРИСТУВАЧ</cp:lastModifiedBy>
  <cp:revision>7</cp:revision>
  <cp:lastPrinted>2020-04-01T06:09:00Z</cp:lastPrinted>
  <dcterms:created xsi:type="dcterms:W3CDTF">2019-07-16T09:32:00Z</dcterms:created>
  <dcterms:modified xsi:type="dcterms:W3CDTF">2020-04-01T06:09:00Z</dcterms:modified>
</cp:coreProperties>
</file>