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4327" w14:textId="0BD2FDEC" w:rsidR="00107467" w:rsidRDefault="00F115B2" w:rsidP="00C05697">
      <w:pPr>
        <w:spacing w:after="0" w:line="240" w:lineRule="auto"/>
        <w:ind w:right="57"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Pr="008B2B7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№</w:t>
      </w:r>
      <w:r w:rsidR="008B2B7F" w:rsidRPr="008B2B7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4</w:t>
      </w:r>
    </w:p>
    <w:p w14:paraId="2918DAB6" w14:textId="0B8A336C" w:rsidR="00107467" w:rsidRPr="00DE6B8E" w:rsidRDefault="00F115B2" w:rsidP="00C05697">
      <w:pPr>
        <w:spacing w:after="0" w:line="240" w:lineRule="auto"/>
        <w:ind w:right="57"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 р</w:t>
      </w:r>
      <w:r w:rsidR="00DE6B8E">
        <w:rPr>
          <w:rFonts w:ascii="Times New Roman" w:hAnsi="Times New Roman" w:cs="Times New Roman"/>
          <w:sz w:val="28"/>
          <w:szCs w:val="28"/>
          <w:lang w:val="uk-UA" w:eastAsia="ru-RU"/>
        </w:rPr>
        <w:t>озпорядження №</w:t>
      </w:r>
      <w:r w:rsidR="00D737C5" w:rsidRPr="00D737C5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73 ОД</w:t>
      </w:r>
      <w:r w:rsidR="00DE6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D737C5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6058E7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D737C5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6058E7">
        <w:rPr>
          <w:rFonts w:ascii="Times New Roman" w:hAnsi="Times New Roman" w:cs="Times New Roman"/>
          <w:sz w:val="28"/>
          <w:szCs w:val="28"/>
          <w:lang w:val="uk-UA" w:eastAsia="ru-RU"/>
        </w:rPr>
        <w:t>.23р.</w:t>
      </w:r>
    </w:p>
    <w:p w14:paraId="398B44B2" w14:textId="77777777" w:rsidR="00107467" w:rsidRDefault="00107467" w:rsidP="00C05697">
      <w:pPr>
        <w:shd w:val="clear" w:color="auto" w:fill="FFFFFF"/>
        <w:spacing w:after="0" w:line="240" w:lineRule="auto"/>
        <w:ind w:right="57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ED72C91" w14:textId="77777777" w:rsidR="00107467" w:rsidRDefault="00107467" w:rsidP="00C05697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Програма</w:t>
      </w:r>
    </w:p>
    <w:p w14:paraId="0FD59098" w14:textId="77777777" w:rsidR="00107467" w:rsidRDefault="00107467" w:rsidP="00C05697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«Безпечна громада»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Музиківської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територіальної громади на 2023 рік </w:t>
      </w:r>
    </w:p>
    <w:p w14:paraId="0F18C980" w14:textId="77777777" w:rsidR="00107467" w:rsidRDefault="00107467" w:rsidP="00C05697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F6E268" w14:textId="77777777" w:rsidR="00107467" w:rsidRDefault="00107467" w:rsidP="00C056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tbl>
      <w:tblPr>
        <w:tblStyle w:val="a5"/>
        <w:tblW w:w="10060" w:type="dxa"/>
        <w:tblInd w:w="-426" w:type="dxa"/>
        <w:tblLook w:val="04A0" w:firstRow="1" w:lastRow="0" w:firstColumn="1" w:lastColumn="0" w:noHBand="0" w:noVBand="1"/>
      </w:tblPr>
      <w:tblGrid>
        <w:gridCol w:w="4785"/>
        <w:gridCol w:w="5275"/>
      </w:tblGrid>
      <w:tr w:rsidR="00107467" w14:paraId="6251F21D" w14:textId="77777777" w:rsidTr="003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E61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Ініціатори розроблення Програми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3DD5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Музиківська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сільська рада</w:t>
            </w:r>
          </w:p>
        </w:tc>
      </w:tr>
      <w:tr w:rsidR="00107467" w:rsidRPr="008B2B7F" w14:paraId="57BEF179" w14:textId="77777777" w:rsidTr="003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254A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ED50" w14:textId="3D4AF634" w:rsidR="00107467" w:rsidRPr="00911A2A" w:rsidRDefault="00911A2A" w:rsidP="00C05697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11A2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земельних відносин, містобудування, архітектури та ЖКГ</w:t>
            </w:r>
          </w:p>
        </w:tc>
      </w:tr>
      <w:tr w:rsidR="00107467" w:rsidRPr="008B2B7F" w14:paraId="301AE90D" w14:textId="77777777" w:rsidTr="003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9FE0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2EE4" w14:textId="4A49C6BF" w:rsidR="00107467" w:rsidRPr="00911A2A" w:rsidRDefault="00911A2A" w:rsidP="00C05697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11A2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земельних відносин, містобудування, архітектури та ЖКГ</w:t>
            </w:r>
            <w:r w:rsidR="00107467" w:rsidRPr="00911A2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107467" w14:paraId="5D8C3A3B" w14:textId="77777777" w:rsidTr="003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53E5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2633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 рік</w:t>
            </w:r>
          </w:p>
        </w:tc>
      </w:tr>
      <w:tr w:rsidR="00107467" w14:paraId="00EA585F" w14:textId="77777777" w:rsidTr="003A3124">
        <w:trPr>
          <w:trHeight w:val="6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31D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CF23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Місцевий бюджет, інші джерела, не заборонені чинним законодавством</w:t>
            </w:r>
          </w:p>
        </w:tc>
      </w:tr>
      <w:tr w:rsidR="00107467" w14:paraId="6458174A" w14:textId="77777777" w:rsidTr="003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E24B" w14:textId="77777777" w:rsidR="00107467" w:rsidRDefault="00107467" w:rsidP="00C05697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Загальний обсяг фінансових ресурсів необхідний для реалізації Програми.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D1F0" w14:textId="10299A89" w:rsidR="00107467" w:rsidRDefault="009C0BEE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695,36</w:t>
            </w:r>
            <w:r w:rsidR="001146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</w:t>
            </w:r>
            <w:r w:rsidR="0010746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0746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="0010746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="00003D5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 з сільського бюджету</w:t>
            </w:r>
          </w:p>
          <w:p w14:paraId="1393403D" w14:textId="77777777" w:rsidR="00003D5E" w:rsidRPr="00003D5E" w:rsidRDefault="00003D5E" w:rsidP="00C05697">
            <w:pPr>
              <w:pStyle w:val="a3"/>
              <w:ind w:left="0" w:firstLine="567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03D5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83,205 тис. грн – кошти обласного центру зайнятості</w:t>
            </w:r>
          </w:p>
          <w:p w14:paraId="55923069" w14:textId="14F88CFA" w:rsidR="00003D5E" w:rsidRDefault="00003D5E" w:rsidP="00C05697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003D5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3 255,96537 тис. грн – благодійні внески</w:t>
            </w:r>
          </w:p>
        </w:tc>
      </w:tr>
    </w:tbl>
    <w:p w14:paraId="22826859" w14:textId="77777777" w:rsidR="00107467" w:rsidRDefault="00107467" w:rsidP="00C05697">
      <w:pPr>
        <w:shd w:val="clear" w:color="auto" w:fill="FFFFFF"/>
        <w:spacing w:after="0" w:line="278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F3BEBBF" w14:textId="77777777" w:rsidR="00107467" w:rsidRDefault="00107467" w:rsidP="00C05697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14:paraId="48CFCE8F" w14:textId="1C1756ED" w:rsidR="00107467" w:rsidRDefault="00107467" w:rsidP="00C05697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Програма «Безпечна громада»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Музиківської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територіальної громади на 2023 рік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(далі-Програма) розроблена відповідно до законів України «Про місцеве самоврядування в Україні», «Про національну поліцію»,  Указу Президента України «Про заходи щодо забезпечення особистої безпеки громадян та протидії злочинності»,</w:t>
      </w:r>
      <w:r w:rsidR="004302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30225" w:rsidRPr="00430225">
        <w:rPr>
          <w:rFonts w:ascii="Times New Roman" w:hAnsi="Times New Roman"/>
          <w:color w:val="00000A"/>
          <w:sz w:val="28"/>
          <w:szCs w:val="28"/>
          <w:lang w:val="uk-UA"/>
        </w:rPr>
        <w:t>Указу Президента України від 24 лютого 2022 року №64/2022 «Про введення воєнного стану в Україні» (зі змінами), Закону України «Про правовий режим воєнного стану»</w:t>
      </w:r>
      <w:r w:rsidR="00430225">
        <w:rPr>
          <w:rFonts w:ascii="Times New Roman" w:hAnsi="Times New Roman"/>
          <w:color w:val="00000A"/>
          <w:sz w:val="28"/>
          <w:szCs w:val="28"/>
          <w:lang w:val="uk-UA"/>
        </w:rPr>
        <w:t>, з метою успішної реалізації проекту «Поліцейський офіцер громади»,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 запобігання та припинення адміністративних правопорушень і злочинів,  захисту життя та здоров’я громадян,</w:t>
      </w:r>
      <w:r w:rsidR="004302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інтересів суспільства і держави від протиправних посягань Питання безпеки людини в сучасному середовищі  сьогодні є, як ніколи актуальним. Внаслідок бойових дій, терористичних актів, диверсій під час збройного вторгнення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території громади, в населених пунктах, залишилося багато </w:t>
      </w:r>
      <w:r w:rsidR="00911A2A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вибухо</w:t>
      </w:r>
      <w:r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небезпечних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предметів, є підозра, що територія будівель соціальної сфери, комунальних підприємств заміновані.</w:t>
      </w:r>
      <w:r w:rsidR="004302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E72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З’явилась нагальна необхідність у цивільному захисті населення. </w:t>
      </w:r>
      <w:r w:rsidR="00430225">
        <w:rPr>
          <w:rFonts w:ascii="Times New Roman" w:hAnsi="Times New Roman" w:cs="Times New Roman"/>
          <w:sz w:val="28"/>
          <w:szCs w:val="28"/>
          <w:lang w:val="uk-UA" w:eastAsia="ru-RU"/>
        </w:rPr>
        <w:t>Також є необхідність у створенні місцевої пожежної охорони, для попередження та боротьби з пожежами.</w:t>
      </w:r>
    </w:p>
    <w:p w14:paraId="67342B6C" w14:textId="4C88E4EA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сьогоднішній день ще існує  загрозлива ситуація для громади і тому, як ніколи пріоритетними напрямками діяльності місцевої влади та правоохоронних органів є: попередження надзвичайних ситуацій, проявів тероризму, забезпечення посилених заходів безпеки громадян, збереження комунальної власності та важливих </w:t>
      </w:r>
      <w:r w:rsidR="00C05697">
        <w:rPr>
          <w:rFonts w:ascii="Times New Roman" w:hAnsi="Times New Roman" w:cs="Times New Roman"/>
          <w:sz w:val="28"/>
          <w:szCs w:val="28"/>
          <w:lang w:val="uk-UA" w:eastAsia="ru-RU"/>
        </w:rPr>
        <w:t>об’єктів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громади.</w:t>
      </w:r>
    </w:p>
    <w:p w14:paraId="5772C884" w14:textId="1D51ECD7" w:rsidR="00107467" w:rsidRDefault="006D0BCF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З огляду на зазначене, до системи, яка забезпечує безпеку мешканців в сучасних умовах, є особливі вимоги щодо надійності, стійкості, ефективності та безперервності роботи у цілодобовому режимі. Існує потреба в нових засобах та методах гарантування безпеки мешканцям громади, а саме: своєчасне автоматизоване оповіщення населення про тривожні, загрозливі та надзвичайні події з метою їх запобігання або негайного усунення, утримання у постійній готовності захисних споруд цивільного захисту, передбачених для укриття населення, розгортання пунктів незламності та пунктів обігріву, організація пожежної охорони, скоординована взаємодія з усіма службами, відповідальними за безпеку громади.</w:t>
      </w:r>
    </w:p>
    <w:p w14:paraId="69835A93" w14:textId="77777777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E7603C5" w14:textId="4AC94F10" w:rsidR="00107467" w:rsidRDefault="00107467" w:rsidP="00C05697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2. Визначення проблеми, на </w:t>
      </w:r>
      <w:r w:rsidR="00C05697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розв’язання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якої спрямована Програма</w:t>
      </w:r>
    </w:p>
    <w:p w14:paraId="0AD38CF5" w14:textId="7B5A831D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Забезпечення безпеки мешканців та підтримка нормальної життєдіяльності громади завдяки стабільній роботі її важливих </w:t>
      </w:r>
      <w:r w:rsidR="00C05697">
        <w:rPr>
          <w:rFonts w:ascii="Times New Roman" w:hAnsi="Times New Roman" w:cs="Times New Roman"/>
          <w:sz w:val="28"/>
          <w:szCs w:val="28"/>
          <w:lang w:val="uk-UA" w:eastAsia="ru-RU"/>
        </w:rPr>
        <w:t>об’єктів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 однією з головних задач  влади.</w:t>
      </w:r>
    </w:p>
    <w:p w14:paraId="70D34EDE" w14:textId="77777777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Повсякчас у громаді здійснюється розбудова, зростає рівень суспільно-політичної активності мешканців, участі у різноманітних масових заходах. Така ситуація вимагає створення необхідності підтримки належного забезпечення суспільної безпеки на території громади.</w:t>
      </w:r>
    </w:p>
    <w:p w14:paraId="75859FDE" w14:textId="33E45556" w:rsidR="00107467" w:rsidRDefault="002328F6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В співробітництві з правоохоронними органами проводиться  постійна робота щодо протидії та профілактики правопорушень, забезпеченню суспільного порядку при проведенні публічних та масових заходів, видачі гуманітарної допомоги, тощо.</w:t>
      </w:r>
    </w:p>
    <w:p w14:paraId="2253065B" w14:textId="01799D90" w:rsidR="00107467" w:rsidRDefault="002328F6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Програма «Безпечна громада» ставить на меті посилення безпеки громадян, захисту важливих </w:t>
      </w:r>
      <w:proofErr w:type="spellStart"/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об΄єктів</w:t>
      </w:r>
      <w:proofErr w:type="spellEnd"/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громади, комунального майна, підтримка нормальної життєдіяльності громади, посилення безпеки дорожнього руху, підвищення рівня розкриття правопорушень.</w:t>
      </w:r>
    </w:p>
    <w:p w14:paraId="66278A87" w14:textId="319E5895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 рамках цієї Програми було проведено аналіз з метою визначення місць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об΄єктів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громади, які потребують посиленого захисту та контролю над ситуацією. Розглянуті потреби у ремонті камер відеоспостереження у місцях скупчення людей та місцях підвищеної небезпеки, стратегічних та важливих для життєдіяльності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об΄єктів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громади.</w:t>
      </w:r>
    </w:p>
    <w:p w14:paraId="6541EA7F" w14:textId="77777777" w:rsidR="00107467" w:rsidRDefault="00107467" w:rsidP="00C05697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3. Мета Програми</w:t>
      </w:r>
    </w:p>
    <w:p w14:paraId="73592C59" w14:textId="5CB7EF0D" w:rsidR="00107467" w:rsidRDefault="00C0569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>Мета Програми полягає у п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ідвищенн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рівня громадської безпеки та громадського порядку, забезпеченн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належного моніторингу ситуації на важливих </w:t>
      </w:r>
      <w:proofErr w:type="spellStart"/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об΄єктах</w:t>
      </w:r>
      <w:proofErr w:type="spellEnd"/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громади, </w:t>
      </w:r>
      <w:proofErr w:type="spellStart"/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об΄єктах</w:t>
      </w:r>
      <w:proofErr w:type="spellEnd"/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благоустрою та комунальної сфери, посиленн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078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пожежної 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>безпеки, запобіганн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злочинності, підвищенн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оперативності, якості та достовірної інформації, отриманої службами, які забезпечують безпеку громади, для відповідного швидкого реагування.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Впровадити робот</w:t>
      </w:r>
      <w:r w:rsidR="00422BEF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B279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дільничних офіцерів поліції у новому форматі, який передбачає постійну присутність на території громади, тісну співпрацю з керівництвом громади та населенням, підзвітність громаді та інші додаткові функції.</w:t>
      </w:r>
    </w:p>
    <w:p w14:paraId="177A5D92" w14:textId="77777777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C646648" w14:textId="04126EC4" w:rsidR="00107467" w:rsidRDefault="00107467" w:rsidP="00C05697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="00C05697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шляхів і засобів </w:t>
      </w:r>
      <w:r w:rsidR="00C05697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розв’язання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проблеми, обсягів та джерел фінансування.</w:t>
      </w:r>
    </w:p>
    <w:p w14:paraId="42B4B37E" w14:textId="05B46500" w:rsidR="00107467" w:rsidRDefault="00107467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Фінансування заходів, щодо виконання Програми, здійснюється в Порядку, визначеному нормативно-правовими актами за рахунок коштів сільського бюджету </w:t>
      </w:r>
      <w:r w:rsidR="00FF13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інших джерел фінансування, не заборонених законодавством.</w:t>
      </w:r>
    </w:p>
    <w:p w14:paraId="2956D2B9" w14:textId="5F8F5482" w:rsidR="00107467" w:rsidRDefault="00107467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Матеріально-технічне забезпечення розгорнутих  пунктів незламності,</w:t>
      </w:r>
      <w:r w:rsidR="00FF13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пунктів обігріву,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укриття цивільного захисту, оплата вартості використаних товарів,</w:t>
      </w:r>
      <w:r w:rsidR="00D474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пального,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предметів, які будуть необхідні для забезпечення громадської безпеки та громадського порядку здійснюється за рахунок коштів місцевого бюджету</w:t>
      </w:r>
      <w:r w:rsidR="00FF13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та інших джерел фінансування, не заборонених законодавством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57CE5DB" w14:textId="77777777" w:rsidR="00B572B5" w:rsidRDefault="00B572B5" w:rsidP="00B572B5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Фінансування ремонтно-відновлювальних робіт, насамперед робіт, що виконуються на об’єктах забезпечення життєдіяльності, упорядкування та прибирання території, вантажно-розвантажувальні роботи в Пункті видачі гуманітарної допомоги здійснюється за рахунок надходження цільових коштів від Херсонського обласного центру зайнятості.</w:t>
      </w:r>
    </w:p>
    <w:p w14:paraId="538AF32D" w14:textId="77777777" w:rsidR="00B572B5" w:rsidRDefault="00B572B5" w:rsidP="00B572B5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Після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деокупації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території громади волонтерами, партнерами та благодійними організаціями було надано гуманітарну допомогу у натуральній формі на облаштування безпечних умов для населення в громаді у сумі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3 255 965,37 грн,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так було отримано вогнегасники, аптечки, подовжувачі, кіт для води, буржуйки, ковдри, термоси, конвектори, фільтри для води, продукти, одяг, генератори, світильники, ємності, каністри та інше.  </w:t>
      </w:r>
    </w:p>
    <w:p w14:paraId="18A9F923" w14:textId="77777777" w:rsidR="00B572B5" w:rsidRDefault="00B572B5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E731A3" w14:textId="77777777" w:rsidR="00107467" w:rsidRDefault="00107467" w:rsidP="00C05697">
      <w:pPr>
        <w:tabs>
          <w:tab w:val="left" w:pos="426"/>
        </w:tabs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5. Основні завдання  та напрямки реалізації Програми.</w:t>
      </w:r>
    </w:p>
    <w:p w14:paraId="5D8F0DD4" w14:textId="728C9771" w:rsidR="00911A2A" w:rsidRPr="00911A2A" w:rsidRDefault="00911A2A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Основними завданнями Програми є: забезпечення виконання</w:t>
      </w:r>
      <w:r w:rsidR="003A3124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заходів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D0375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спрямованих на підвищення загального рівня безпеки, правопорядку та цивільного захисту населення на території громади. </w:t>
      </w:r>
    </w:p>
    <w:p w14:paraId="4EA4159C" w14:textId="436A7559" w:rsidR="00107467" w:rsidRPr="00911A2A" w:rsidRDefault="00911A2A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Головне завдання Програми – впровадження комплексної системи  безпеки на основі сучасних засобів відеоспостереження,</w:t>
      </w:r>
      <w:r w:rsidR="003A3124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оповіщення,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безпеки, моніторингу, контролю, </w:t>
      </w:r>
      <w:r w:rsidR="00C0569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зв’язку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, керування та оперативного реагування.</w:t>
      </w:r>
    </w:p>
    <w:p w14:paraId="07DDD718" w14:textId="1265B553" w:rsidR="00107467" w:rsidRDefault="00911A2A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Для реалізації вищезазначен</w:t>
      </w:r>
      <w:r w:rsidR="008D0375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ої мети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необхідно</w:t>
      </w:r>
      <w:r w:rsidR="008D0375" w:rsidRPr="00911A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виконати такі заходи</w:t>
      </w:r>
      <w:r w:rsidR="00107467" w:rsidRPr="00911A2A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649169E4" w14:textId="0F6D2FF3" w:rsidR="00107467" w:rsidRDefault="00107467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 провести відновлення </w:t>
      </w:r>
      <w:r w:rsidR="00704A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системи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відеоспостереження;</w:t>
      </w:r>
    </w:p>
    <w:p w14:paraId="3998362E" w14:textId="12CF3CC9" w:rsidR="00107467" w:rsidRDefault="00107467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3A31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відновити єдину локальну систему, яка забезпечить отримання даних з усіх камер відеоспостереження;</w:t>
      </w:r>
    </w:p>
    <w:p w14:paraId="2E788F8D" w14:textId="4B1EDF8A" w:rsidR="00D954EB" w:rsidRDefault="00107467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консолід</w:t>
      </w:r>
      <w:r w:rsidR="00704A4F">
        <w:rPr>
          <w:rFonts w:ascii="Times New Roman" w:hAnsi="Times New Roman" w:cs="Times New Roman"/>
          <w:sz w:val="28"/>
          <w:szCs w:val="28"/>
          <w:lang w:val="uk-UA" w:eastAsia="ru-RU"/>
        </w:rPr>
        <w:t>увати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зусил</w:t>
      </w:r>
      <w:r w:rsidR="00704A4F">
        <w:rPr>
          <w:rFonts w:ascii="Times New Roman" w:hAnsi="Times New Roman" w:cs="Times New Roman"/>
          <w:sz w:val="28"/>
          <w:szCs w:val="28"/>
          <w:lang w:val="uk-UA" w:eastAsia="ru-RU"/>
        </w:rPr>
        <w:t>ля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влади та правоохоронних органів  в розмінуванні території громади після збройного вторгнення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метою забезпечення нормальної життєдіяльності громади</w:t>
      </w:r>
      <w:r w:rsidR="00D954EB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7A729ADA" w14:textId="073CCC45" w:rsidR="00704A4F" w:rsidRDefault="00704A4F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встановити систему оповіщення населення  про повітряну тривогу;</w:t>
      </w:r>
    </w:p>
    <w:p w14:paraId="42753886" w14:textId="7AE6E35A" w:rsidR="00704A4F" w:rsidRDefault="00704A4F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облаштування пунктів обігріву </w:t>
      </w:r>
      <w:r w:rsidR="003267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пунктів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незламності;</w:t>
      </w:r>
    </w:p>
    <w:p w14:paraId="00CEBC23" w14:textId="23854655" w:rsidR="00D4746D" w:rsidRDefault="00D4746D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облаштування цивільних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укрит</w:t>
      </w:r>
      <w:r w:rsidR="0032671D">
        <w:rPr>
          <w:rFonts w:ascii="Times New Roman" w:hAnsi="Times New Roman" w:cs="Times New Roman"/>
          <w:sz w:val="28"/>
          <w:szCs w:val="28"/>
          <w:lang w:val="uk-UA" w:eastAsia="ru-RU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цивільного захисту;</w:t>
      </w:r>
    </w:p>
    <w:p w14:paraId="3F9BAA54" w14:textId="4AE7E1BA" w:rsidR="00D954EB" w:rsidRPr="00704A4F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- налагодження дієвої співпраці з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пожежно</w:t>
      </w:r>
      <w:proofErr w:type="spellEnd"/>
      <w:r w:rsidR="0032671D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704A4F">
        <w:rPr>
          <w:rFonts w:ascii="Times New Roman" w:hAnsi="Times New Roman"/>
          <w:sz w:val="28"/>
          <w:szCs w:val="28"/>
          <w:lang w:val="uk-UA" w:eastAsia="ru-RU"/>
        </w:rPr>
        <w:t>рятувальними частинами ГУДСНС України в Херсонській області;</w:t>
      </w:r>
    </w:p>
    <w:p w14:paraId="6C9A7883" w14:textId="3CCB74E9" w:rsidR="00D954EB" w:rsidRPr="00704A4F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- налагодження співпраці з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ПАТ»Чорнобаївське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» для спільного вирішення проблеми пожежної безпеки в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Східненськ</w:t>
      </w:r>
      <w:r w:rsidR="0032671D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704A4F">
        <w:rPr>
          <w:rFonts w:ascii="Times New Roman" w:hAnsi="Times New Roman"/>
          <w:sz w:val="28"/>
          <w:szCs w:val="28"/>
          <w:lang w:val="uk-UA" w:eastAsia="ru-RU"/>
        </w:rPr>
        <w:t>му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територіальному окрузі;</w:t>
      </w:r>
    </w:p>
    <w:p w14:paraId="7D7630F8" w14:textId="3A4868C1" w:rsidR="00D954EB" w:rsidRPr="00704A4F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забезпечення протипожежного захисту об’єктів з масовим перебуванням людей, зокрема, 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Музиківського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ясла-садку,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Східненського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ясла-садку,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Східненської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школи,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Музиківського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ліцею,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Східненського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СБК,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Музиківського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СБК,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Музиківської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бібліотеки,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Загорянівської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бібліотеки,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Музиківського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ЦНАПу</w:t>
      </w:r>
      <w:proofErr w:type="spellEnd"/>
      <w:r w:rsidR="0032671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32671D">
        <w:rPr>
          <w:rFonts w:ascii="Times New Roman" w:hAnsi="Times New Roman"/>
          <w:sz w:val="28"/>
          <w:szCs w:val="28"/>
          <w:lang w:val="uk-UA" w:eastAsia="ru-RU"/>
        </w:rPr>
        <w:t>Музиківської</w:t>
      </w:r>
      <w:proofErr w:type="spellEnd"/>
      <w:r w:rsidR="0032671D">
        <w:rPr>
          <w:rFonts w:ascii="Times New Roman" w:hAnsi="Times New Roman"/>
          <w:sz w:val="28"/>
          <w:szCs w:val="28"/>
          <w:lang w:val="uk-UA" w:eastAsia="ru-RU"/>
        </w:rPr>
        <w:t xml:space="preserve"> амбулаторії ЗПСМ</w:t>
      </w:r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та ін.</w:t>
      </w:r>
    </w:p>
    <w:p w14:paraId="50B7213D" w14:textId="77777777" w:rsidR="00D954EB" w:rsidRPr="00704A4F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- виділення коштів на придбання паливно-мастильних матеріалів для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пожежно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>-рятувальних автомобілів підрозділу Херсонського районного управління ГУДСНС України в Херсонській області на суму 30 000,00 грн;</w:t>
      </w:r>
    </w:p>
    <w:p w14:paraId="722C4C1E" w14:textId="77777777" w:rsidR="00D954EB" w:rsidRPr="00704A4F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>- забезпечення протипожежного водопостачання населених пунктів та об’єктів, проведення ремонту несправних пожежних гідрантів та водойм.</w:t>
      </w:r>
    </w:p>
    <w:p w14:paraId="60350E7B" w14:textId="77777777" w:rsidR="00D954EB" w:rsidRPr="00704A4F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>- забезпечення функціонування систем пожежної сигналізації змонтованих в комунальних закладах;</w:t>
      </w:r>
    </w:p>
    <w:p w14:paraId="7A8E1610" w14:textId="085EA710" w:rsidR="00D954EB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- посилення пожежної безпеки, поліпшення матеріально-технічного стану підрозділів пожежної охорони для виконання завдань за призначенням</w:t>
      </w:r>
      <w:r w:rsidR="006F1F7F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23BD752" w14:textId="76CECFEE" w:rsidR="006F1F7F" w:rsidRPr="00704A4F" w:rsidRDefault="006F1F7F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- створення місцевої пожежної охорони;</w:t>
      </w:r>
    </w:p>
    <w:p w14:paraId="632CAA11" w14:textId="149FDF7D" w:rsidR="00D954EB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4A4F">
        <w:rPr>
          <w:rFonts w:ascii="Times New Roman" w:hAnsi="Times New Roman"/>
          <w:sz w:val="28"/>
          <w:szCs w:val="28"/>
          <w:lang w:val="uk-UA" w:eastAsia="ru-RU"/>
        </w:rPr>
        <w:t xml:space="preserve"> - організація </w:t>
      </w:r>
      <w:proofErr w:type="spellStart"/>
      <w:r w:rsidRPr="00704A4F">
        <w:rPr>
          <w:rFonts w:ascii="Times New Roman" w:hAnsi="Times New Roman"/>
          <w:sz w:val="28"/>
          <w:szCs w:val="28"/>
          <w:lang w:val="uk-UA" w:eastAsia="ru-RU"/>
        </w:rPr>
        <w:t>пожежно</w:t>
      </w:r>
      <w:proofErr w:type="spellEnd"/>
      <w:r w:rsidRPr="00704A4F">
        <w:rPr>
          <w:rFonts w:ascii="Times New Roman" w:hAnsi="Times New Roman"/>
          <w:sz w:val="28"/>
          <w:szCs w:val="28"/>
          <w:lang w:val="uk-UA" w:eastAsia="ru-RU"/>
        </w:rPr>
        <w:t>-профілактичних заходів та гасіння пожеж у лісових масивах та на сільськогосподарських угіддях</w:t>
      </w:r>
      <w:r w:rsidR="00422BEF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544D8597" w14:textId="045DC98D" w:rsidR="00B572B5" w:rsidRDefault="00B572B5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алучити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суспільно-корисних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працездатних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D09EA8F" w14:textId="6F46C6FA" w:rsidR="00B572B5" w:rsidRDefault="00B572B5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апровадити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повинність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суспільно-корисні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DBC95FC" w14:textId="665BBA15" w:rsidR="00FF78A2" w:rsidRDefault="00FF78A2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розмінування території громади;</w:t>
      </w:r>
    </w:p>
    <w:p w14:paraId="23AE8536" w14:textId="51866855" w:rsidR="00422BEF" w:rsidRPr="00422BEF" w:rsidRDefault="00422BEF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реалізувати проект «Поліцейський офіцер громади</w:t>
      </w:r>
      <w:r w:rsidRPr="00422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підвищити загальний рівень правопорядку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в населених пунктах об’єднаної територіальної громади, захистити життя, здоров’я, честь та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гідність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цілодобову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охорону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громадського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населених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пунктах,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профілактичну</w:t>
      </w:r>
      <w:r w:rsidRPr="00422BEF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Pr="00422BEF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22BE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Pr="00422BE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злочинності</w:t>
      </w:r>
      <w:r w:rsidRPr="00422BE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22BE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Pr="00422BE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комплексний</w:t>
      </w:r>
      <w:r w:rsidRPr="00422BE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підхід вирішення проблем, пов’язаних з питанням безпеки населених пунктів на території</w:t>
      </w:r>
      <w:r w:rsidRPr="00422B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22BEF"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14:paraId="5C7B21DB" w14:textId="77777777" w:rsidR="00D954EB" w:rsidRPr="00D954EB" w:rsidRDefault="00D954EB" w:rsidP="00C05697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96CF5CD" w14:textId="3F4A6F83" w:rsidR="00107467" w:rsidRDefault="00911A2A" w:rsidP="00C05697">
      <w:pPr>
        <w:tabs>
          <w:tab w:val="left" w:pos="426"/>
        </w:tabs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6. Очікувані результати</w:t>
      </w:r>
    </w:p>
    <w:p w14:paraId="17E96A68" w14:textId="7C40AE21" w:rsidR="001A6F95" w:rsidRPr="001A6F95" w:rsidRDefault="00911A2A" w:rsidP="00C05697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покращити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стан правопорядку на території громади, створити додаткові умови для забезпечення особистої безпеки громадян і профілактики правопорушень;</w:t>
      </w:r>
    </w:p>
    <w:p w14:paraId="5A17CDD9" w14:textId="58F5EB36" w:rsidR="001A6F95" w:rsidRPr="001A6F95" w:rsidRDefault="001A6F95" w:rsidP="00C05697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>створити у населених пунктах громади безпечне середовище для проживання різних верств населення.</w:t>
      </w:r>
    </w:p>
    <w:p w14:paraId="46505BD9" w14:textId="22D8E4E8" w:rsidR="001A6F95" w:rsidRPr="001A6F95" w:rsidRDefault="001A6F95" w:rsidP="00C05697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6F95">
        <w:rPr>
          <w:rFonts w:ascii="Times New Roman" w:hAnsi="Times New Roman"/>
          <w:sz w:val="28"/>
          <w:szCs w:val="28"/>
          <w:lang w:val="uk-UA" w:eastAsia="ru-RU"/>
        </w:rPr>
        <w:t>привести  протипожежний стан об’єктів та населених пунктів у відповідність до норм;</w:t>
      </w:r>
    </w:p>
    <w:p w14:paraId="13E060B6" w14:textId="59CB9039" w:rsidR="001A6F95" w:rsidRPr="001A6F95" w:rsidRDefault="001A6F95" w:rsidP="00C05697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6F95">
        <w:rPr>
          <w:rFonts w:ascii="Times New Roman" w:hAnsi="Times New Roman"/>
          <w:sz w:val="28"/>
          <w:szCs w:val="28"/>
          <w:lang w:val="uk-UA" w:eastAsia="ru-RU"/>
        </w:rPr>
        <w:t>забезпечити пожежну безпеку населених пунктів сільської ради та об’єктів аграрного сектору економіки;</w:t>
      </w:r>
    </w:p>
    <w:p w14:paraId="21EAE788" w14:textId="1A9E8B6D" w:rsidR="001A6F95" w:rsidRPr="001A6F95" w:rsidRDefault="001A6F95" w:rsidP="00C05697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6F95">
        <w:rPr>
          <w:rFonts w:ascii="Times New Roman" w:hAnsi="Times New Roman"/>
          <w:sz w:val="28"/>
          <w:szCs w:val="28"/>
          <w:lang w:val="uk-UA" w:eastAsia="ru-RU"/>
        </w:rPr>
        <w:t>знизити ризики виникнення пожеж та загроз, пов’язаних з пожежами, небезпечними для життя і здоров’я громадян, створення сприятливих соціальних умов життєдіяльності населення;</w:t>
      </w:r>
    </w:p>
    <w:p w14:paraId="4E1CEA2B" w14:textId="6C81ED45" w:rsidR="001A6F95" w:rsidRPr="001A6F95" w:rsidRDefault="001A6F95" w:rsidP="00C05697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реагувати та протидіяти потенційним загрозам національної безпеки, терористичним проявам, провокаціям.</w:t>
      </w:r>
    </w:p>
    <w:p w14:paraId="38A00C7A" w14:textId="6199EC9A" w:rsidR="00107467" w:rsidRDefault="00107467" w:rsidP="00C05697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>отрим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увати</w:t>
      </w:r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своєчасн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та достовірн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інформаці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1A6F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подію, небезпечну або надзвичайну ситуацію, можливість впливу на її перебіг та успішне подолання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916B087" w14:textId="3613C6E7" w:rsidR="00B35A31" w:rsidRPr="001A6F95" w:rsidRDefault="00993C0E" w:rsidP="00C05697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забезпечити робочим приміщенням поліцейського офіцера громади,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зебезпечити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належну матеріально-технічну та фінансову підтримку роботи у новому форматі дільничних офіцерів поліції.</w:t>
      </w:r>
    </w:p>
    <w:p w14:paraId="6F0B704C" w14:textId="691B6EA0" w:rsidR="00107467" w:rsidRDefault="00993C0E" w:rsidP="00C05697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467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взаємодії місцевої влади та правоохоронних органів при проведенні заходів посилення безпеки громад</w:t>
      </w:r>
      <w:r w:rsidR="001A6F95" w:rsidRPr="001A6F9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55512F05" w14:textId="499C7C00" w:rsidR="00993C0E" w:rsidRDefault="00993C0E" w:rsidP="00993C0E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м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інімізувати злочинний вплив на молодь та підлітків, усунути причини та</w:t>
      </w:r>
      <w:r w:rsidRPr="00993C0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умови,</w:t>
      </w:r>
      <w:r w:rsidRPr="00993C0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що сприяють</w:t>
      </w:r>
      <w:r w:rsidRPr="00993C0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втягненню їх</w:t>
      </w:r>
      <w:r w:rsidRPr="00993C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3C0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протиправну</w:t>
      </w:r>
      <w:r w:rsidRPr="00993C0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93C0E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EF6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4DD9EE" w14:textId="2B364AA8" w:rsidR="00EF6343" w:rsidRPr="00993C0E" w:rsidRDefault="00EF6343" w:rsidP="00993C0E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очищення земельних ділянок та території громади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вибухонезбечних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предметів.</w:t>
      </w:r>
    </w:p>
    <w:p w14:paraId="4FA6F692" w14:textId="1A660B6E" w:rsidR="00993C0E" w:rsidRDefault="00993C0E" w:rsidP="00993C0E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FECCEE" w14:textId="129E55CE" w:rsidR="001A6F95" w:rsidRPr="005C5122" w:rsidRDefault="00076B37" w:rsidP="003F2AD8">
      <w:pPr>
        <w:tabs>
          <w:tab w:val="left" w:pos="1843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</w:p>
    <w:p w14:paraId="24DFF47E" w14:textId="7D431C37" w:rsidR="00107467" w:rsidRPr="00107467" w:rsidRDefault="00107467" w:rsidP="00C05697">
      <w:pPr>
        <w:pStyle w:val="a4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10746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3F2AD8">
        <w:rPr>
          <w:rFonts w:ascii="Times New Roman" w:hAnsi="Times New Roman" w:cs="Times New Roman"/>
          <w:b/>
          <w:sz w:val="28"/>
          <w:szCs w:val="28"/>
          <w:lang w:val="uk-UA" w:eastAsia="ru-RU"/>
        </w:rPr>
        <w:t>7</w:t>
      </w:r>
      <w:r w:rsidRPr="00107467">
        <w:rPr>
          <w:rFonts w:ascii="Times New Roman" w:hAnsi="Times New Roman" w:cs="Times New Roman"/>
          <w:b/>
          <w:sz w:val="28"/>
          <w:szCs w:val="28"/>
          <w:lang w:val="uk-UA" w:eastAsia="ru-RU"/>
        </w:rPr>
        <w:t>. Заходи Програми та джерела фінансування</w:t>
      </w:r>
    </w:p>
    <w:p w14:paraId="3EB35A5E" w14:textId="77777777" w:rsidR="00107467" w:rsidRDefault="00107467" w:rsidP="00C05697">
      <w:pPr>
        <w:spacing w:after="0" w:line="240" w:lineRule="auto"/>
        <w:ind w:right="57" w:firstLine="567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Додаток1</w:t>
      </w:r>
    </w:p>
    <w:tbl>
      <w:tblPr>
        <w:tblStyle w:val="a5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451"/>
        <w:gridCol w:w="1490"/>
        <w:gridCol w:w="1595"/>
        <w:gridCol w:w="1984"/>
      </w:tblGrid>
      <w:tr w:rsidR="00107467" w14:paraId="1B87F27A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4C4" w14:textId="400DA5E6" w:rsidR="00107467" w:rsidRPr="00E12956" w:rsidRDefault="00107467" w:rsidP="00E12956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E129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93CC" w14:textId="77777777" w:rsidR="00107467" w:rsidRDefault="00107467" w:rsidP="00C05697">
            <w:pPr>
              <w:spacing w:after="0" w:line="240" w:lineRule="auto"/>
              <w:ind w:left="0" w:righ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D379" w14:textId="77777777" w:rsidR="00107467" w:rsidRDefault="00107467" w:rsidP="00C05697">
            <w:pPr>
              <w:spacing w:after="0" w:line="240" w:lineRule="auto"/>
              <w:ind w:left="0" w:right="57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B083" w14:textId="77777777" w:rsidR="00107467" w:rsidRDefault="00107467" w:rsidP="00C05697">
            <w:pPr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4644" w14:textId="77777777" w:rsidR="00107467" w:rsidRDefault="00107467" w:rsidP="00C05697">
            <w:pPr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6CC8" w14:textId="4EBB91C7" w:rsidR="00107467" w:rsidRDefault="00107467" w:rsidP="00C05697">
            <w:pPr>
              <w:spacing w:after="0" w:line="240" w:lineRule="auto"/>
              <w:ind w:left="0" w:right="57" w:hanging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</w:t>
            </w:r>
            <w:r w:rsidR="00C05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AE6A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</w:tr>
      <w:tr w:rsidR="00107467" w14:paraId="5E4651E8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02D" w14:textId="6036387A" w:rsidR="00107467" w:rsidRPr="00351A3C" w:rsidRDefault="00107467" w:rsidP="00E12956">
            <w:pPr>
              <w:spacing w:after="0" w:line="240" w:lineRule="auto"/>
              <w:ind w:left="0"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FE7C" w14:textId="77777777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розмінування території громади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03F" w14:textId="77777777" w:rsidR="00107467" w:rsidRPr="00351A3C" w:rsidRDefault="00107467" w:rsidP="00C05697">
            <w:pPr>
              <w:spacing w:after="0" w:line="240" w:lineRule="auto"/>
              <w:ind w:left="0" w:right="57" w:firstLine="28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961" w14:textId="77777777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E593" w14:textId="77777777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8E1" w14:textId="77777777" w:rsidR="00107467" w:rsidRPr="00351A3C" w:rsidRDefault="00107467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62BED96" w14:textId="1D5F68CF" w:rsidR="00107467" w:rsidRPr="00351A3C" w:rsidRDefault="00246177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50,0</w:t>
            </w:r>
            <w:r w:rsidR="00AE6A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107467" w14:paraId="2A93639E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16E2" w14:textId="3826B57F" w:rsidR="00107467" w:rsidRPr="00351A3C" w:rsidRDefault="00107467" w:rsidP="00E12956">
            <w:pPr>
              <w:spacing w:after="0" w:line="240" w:lineRule="auto"/>
              <w:ind w:left="0"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C1A1" w14:textId="0F35647F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функціонування пунктів незламності</w:t>
            </w:r>
            <w:r w:rsidR="00D474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пунктів обігріву, </w:t>
            </w:r>
            <w:proofErr w:type="spellStart"/>
            <w:r w:rsidR="00D474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укрит</w:t>
            </w:r>
            <w:r w:rsidR="002257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тів</w:t>
            </w:r>
            <w:proofErr w:type="spellEnd"/>
            <w:r w:rsidR="00D474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цивільного захисту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C0D" w14:textId="77777777" w:rsidR="00107467" w:rsidRPr="00351A3C" w:rsidRDefault="00107467" w:rsidP="00C05697">
            <w:pPr>
              <w:spacing w:after="0" w:line="240" w:lineRule="auto"/>
              <w:ind w:left="0" w:right="57" w:firstLine="28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DB31" w14:textId="77777777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Постійно. Протягом року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B0AE" w14:textId="77777777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0CD" w14:textId="77777777" w:rsidR="00107467" w:rsidRPr="00351A3C" w:rsidRDefault="00107467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F23C6ED" w14:textId="523F5431" w:rsidR="00107467" w:rsidRPr="00351A3C" w:rsidRDefault="00B66DF0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104,042</w:t>
            </w:r>
          </w:p>
        </w:tc>
      </w:tr>
      <w:tr w:rsidR="00107467" w14:paraId="5F0510BF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9004" w14:textId="1B2181A8" w:rsidR="00107467" w:rsidRPr="00351A3C" w:rsidRDefault="00E12956" w:rsidP="00E12956">
            <w:pPr>
              <w:spacing w:after="0" w:line="240" w:lineRule="auto"/>
              <w:ind w:left="0"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C64A" w14:textId="7995FB29" w:rsidR="00107467" w:rsidRPr="00351A3C" w:rsidRDefault="00351A3C" w:rsidP="00C05697">
            <w:pPr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Виділення коштів на придбання паливно-мастильних матеріалів для </w:t>
            </w:r>
            <w:proofErr w:type="spellStart"/>
            <w:r w:rsidRPr="00351A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пожежно</w:t>
            </w:r>
            <w:proofErr w:type="spellEnd"/>
            <w:r w:rsidRPr="00351A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-рятувальних автомобілів підрозділу Херсонського районного управління ГУДСНС України в Херсонській області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0BF" w14:textId="77777777" w:rsidR="00107467" w:rsidRPr="00351A3C" w:rsidRDefault="00107467" w:rsidP="00C05697">
            <w:pPr>
              <w:spacing w:after="0" w:line="240" w:lineRule="auto"/>
              <w:ind w:left="0" w:right="57" w:firstLine="28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D64" w14:textId="77777777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2C2D" w14:textId="09D15AB2" w:rsidR="00107467" w:rsidRPr="00351A3C" w:rsidRDefault="00107467" w:rsidP="00C05697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Місцевий бюджет.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2B1" w14:textId="1707FBD9" w:rsidR="00107467" w:rsidRPr="00351A3C" w:rsidRDefault="00107467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3D149B3" w14:textId="254684BF" w:rsidR="00107467" w:rsidRPr="00351A3C" w:rsidRDefault="00107467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30,0</w:t>
            </w:r>
            <w:r w:rsidR="00AE6A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124389" w14:paraId="4360B708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086" w14:textId="6F77BBA2" w:rsidR="00124389" w:rsidRPr="00351A3C" w:rsidRDefault="00E12956" w:rsidP="00E12956">
            <w:pPr>
              <w:spacing w:after="0" w:line="240" w:lineRule="auto"/>
              <w:ind w:left="0"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F61" w14:textId="191BB624" w:rsidR="00124389" w:rsidRPr="00351A3C" w:rsidRDefault="00124389" w:rsidP="00124389">
            <w:pPr>
              <w:spacing w:after="0" w:line="240" w:lineRule="auto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Навчання працівників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мпо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01D" w14:textId="7B7C0E45" w:rsidR="00124389" w:rsidRPr="00351A3C" w:rsidRDefault="00124389" w:rsidP="007236C9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662" w14:textId="0A23897B" w:rsidR="00124389" w:rsidRPr="00351A3C" w:rsidRDefault="00124389" w:rsidP="007236C9">
            <w:pPr>
              <w:spacing w:after="0" w:line="240" w:lineRule="auto"/>
              <w:ind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33D" w14:textId="00080408" w:rsidR="00124389" w:rsidRPr="00351A3C" w:rsidRDefault="00124389" w:rsidP="007236C9">
            <w:pPr>
              <w:spacing w:after="0" w:line="240" w:lineRule="auto"/>
              <w:ind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Місцевий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BBE" w14:textId="59A411B6" w:rsidR="00124389" w:rsidRPr="00351A3C" w:rsidRDefault="00D737C5" w:rsidP="007236C9">
            <w:pPr>
              <w:spacing w:after="0" w:line="240" w:lineRule="auto"/>
              <w:ind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10,90</w:t>
            </w:r>
            <w:r w:rsidR="00E028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E12956" w14:paraId="5A56F320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E09" w14:textId="1678AD9A" w:rsidR="00E12956" w:rsidRPr="00351A3C" w:rsidRDefault="00E12956" w:rsidP="00E12956">
            <w:pPr>
              <w:spacing w:after="0" w:line="240" w:lineRule="auto"/>
              <w:ind w:left="0"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E6F" w14:textId="0B317F2E" w:rsidR="00E12956" w:rsidRDefault="007236C9" w:rsidP="00D737C5">
            <w:pPr>
              <w:spacing w:after="0" w:line="240" w:lineRule="auto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Суспільно-корисні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6E2" w14:textId="249EB97A" w:rsidR="00E12956" w:rsidRPr="00351A3C" w:rsidRDefault="007236C9" w:rsidP="00D737C5">
            <w:pPr>
              <w:spacing w:after="0" w:line="240" w:lineRule="auto"/>
              <w:ind w:left="0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EC8" w14:textId="34A03671" w:rsidR="00E12956" w:rsidRPr="00351A3C" w:rsidRDefault="007236C9" w:rsidP="007236C9">
            <w:pPr>
              <w:spacing w:after="0" w:line="240" w:lineRule="auto"/>
              <w:ind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Квітень-травень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10B" w14:textId="63669678" w:rsidR="00E12956" w:rsidRPr="00351A3C" w:rsidRDefault="007236C9" w:rsidP="007236C9">
            <w:pPr>
              <w:spacing w:after="0" w:line="240" w:lineRule="auto"/>
              <w:ind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Центр зайнятості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312" w14:textId="5DD3E6B5" w:rsidR="00E12956" w:rsidRDefault="007236C9" w:rsidP="007236C9">
            <w:pPr>
              <w:spacing w:after="0" w:line="240" w:lineRule="auto"/>
              <w:ind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146B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83,205</w:t>
            </w:r>
          </w:p>
        </w:tc>
      </w:tr>
      <w:tr w:rsidR="00D737C5" w14:paraId="141AB46F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CA9" w14:textId="5F88B0F5" w:rsidR="00D737C5" w:rsidRDefault="00D737C5" w:rsidP="00E12956">
            <w:pPr>
              <w:spacing w:after="0" w:line="240" w:lineRule="auto"/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A22" w14:textId="6A00580C" w:rsidR="00D737C5" w:rsidRPr="00CA1C51" w:rsidRDefault="00D737C5" w:rsidP="00D737C5">
            <w:pPr>
              <w:spacing w:after="0" w:line="240" w:lineRule="auto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A1C5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Поточний ремонт приміщення для поліцейського офіцера громади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2EB" w14:textId="11CB68DD" w:rsidR="00D737C5" w:rsidRPr="00351A3C" w:rsidRDefault="00D737C5" w:rsidP="00D737C5">
            <w:pPr>
              <w:spacing w:after="0" w:line="240" w:lineRule="auto"/>
              <w:ind w:left="28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FAC" w14:textId="42EA0E7D" w:rsidR="00D737C5" w:rsidRDefault="00D737C5" w:rsidP="007236C9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Липень-вересень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C35" w14:textId="1F221032" w:rsidR="00D737C5" w:rsidRDefault="00D737C5" w:rsidP="007236C9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51D" w14:textId="3E311211" w:rsidR="00D737C5" w:rsidRPr="007236C9" w:rsidRDefault="00D737C5" w:rsidP="007236C9">
            <w:pPr>
              <w:spacing w:after="0" w:line="240" w:lineRule="auto"/>
              <w:ind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374,193</w:t>
            </w:r>
          </w:p>
        </w:tc>
      </w:tr>
      <w:tr w:rsidR="00D737C5" w14:paraId="4947EBF2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AA9" w14:textId="67338EA9" w:rsidR="00D737C5" w:rsidRDefault="00D737C5" w:rsidP="00E12956">
            <w:pPr>
              <w:spacing w:after="0" w:line="240" w:lineRule="auto"/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856" w14:textId="3F57C728" w:rsidR="00D737C5" w:rsidRPr="00D737C5" w:rsidRDefault="00D737C5" w:rsidP="00D737C5">
            <w:pPr>
              <w:spacing w:after="0" w:line="240" w:lineRule="auto"/>
              <w:ind w:left="30" w:right="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14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Розро</w:t>
            </w:r>
            <w:r w:rsidR="001146BA" w:rsidRPr="00114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</w:t>
            </w:r>
            <w:r w:rsidRPr="00114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ка проекту </w:t>
            </w:r>
            <w:r w:rsidR="001146BA" w:rsidRPr="00114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 встановленню </w:t>
            </w:r>
            <w:r w:rsidRPr="00114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системи оповіщення</w:t>
            </w:r>
            <w:r w:rsidR="001146BA" w:rsidRPr="00114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цивільного захисту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74C" w14:textId="43829B7C" w:rsidR="00D737C5" w:rsidRPr="00351A3C" w:rsidRDefault="00D737C5" w:rsidP="00D737C5">
            <w:pPr>
              <w:spacing w:after="0" w:line="240" w:lineRule="auto"/>
              <w:ind w:left="28" w:right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01A" w14:textId="1D9A72BB" w:rsidR="00D737C5" w:rsidRDefault="00D737C5" w:rsidP="007236C9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F7C" w14:textId="2371914F" w:rsidR="00D737C5" w:rsidRPr="00351A3C" w:rsidRDefault="00D737C5" w:rsidP="007236C9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1A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B4" w14:textId="7264304C" w:rsidR="00D737C5" w:rsidRDefault="00D737C5" w:rsidP="007236C9">
            <w:pPr>
              <w:spacing w:after="0" w:line="240" w:lineRule="auto"/>
              <w:ind w:right="57" w:firstLine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43,026</w:t>
            </w:r>
          </w:p>
        </w:tc>
      </w:tr>
      <w:tr w:rsidR="00124389" w14:paraId="2A48D703" w14:textId="77777777" w:rsidTr="00D737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C7B" w14:textId="6ADEFAC0" w:rsidR="00124389" w:rsidRDefault="00124389" w:rsidP="00E12956">
            <w:pPr>
              <w:spacing w:after="0" w:line="240" w:lineRule="auto"/>
              <w:ind w:left="0" w:right="-106" w:firstLine="56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681" w14:textId="77777777" w:rsidR="00124389" w:rsidRDefault="00124389" w:rsidP="00124389">
            <w:pPr>
              <w:spacing w:after="0" w:line="240" w:lineRule="auto"/>
              <w:ind w:left="0" w:righ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B51" w14:textId="77777777" w:rsidR="00124389" w:rsidRDefault="00124389" w:rsidP="00124389">
            <w:pPr>
              <w:spacing w:after="0" w:line="240" w:lineRule="auto"/>
              <w:ind w:left="0" w:righ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DFE" w14:textId="77777777" w:rsidR="00124389" w:rsidRDefault="00124389" w:rsidP="00124389">
            <w:pPr>
              <w:spacing w:after="0" w:line="240" w:lineRule="auto"/>
              <w:ind w:left="0" w:righ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29F" w14:textId="77777777" w:rsidR="00124389" w:rsidRDefault="00124389" w:rsidP="00124389">
            <w:pPr>
              <w:spacing w:after="0" w:line="240" w:lineRule="auto"/>
              <w:ind w:left="0" w:righ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566F" w14:textId="52AF2327" w:rsidR="00124389" w:rsidRDefault="00B267E9" w:rsidP="007236C9">
            <w:pPr>
              <w:spacing w:after="0" w:line="240" w:lineRule="auto"/>
              <w:ind w:left="0" w:right="57" w:firstLine="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695,36</w:t>
            </w:r>
            <w:r w:rsidR="001146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</w:tbl>
    <w:p w14:paraId="476D5D24" w14:textId="77777777" w:rsidR="00107467" w:rsidRDefault="00107467" w:rsidP="00C05697">
      <w:pPr>
        <w:spacing w:after="0" w:line="240" w:lineRule="auto"/>
        <w:ind w:right="57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99AF9C1" w14:textId="669F5B28" w:rsidR="00107467" w:rsidRDefault="00C0569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основу реалізації Програми покладено принцип об’єднання зусиль сільської ради, виконавчого комітету, правоохоронних органів, </w:t>
      </w:r>
      <w:r w:rsidR="003F2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державних органів, </w:t>
      </w:r>
      <w:r w:rsidR="001074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підприємств, організацій та установ різних форм власності,  громадськості для забезпечення охорони громадського порядку, запобігання надзвичайним ситуаціям техногенного та природного характеру, профілактики злочинності на території громади. </w:t>
      </w:r>
    </w:p>
    <w:p w14:paraId="596C4C7C" w14:textId="6D763ECE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безпечного середовища в громаді працює  інспектор з питань громадської безпеки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Шаб</w:t>
      </w:r>
      <w:r w:rsidR="00A50BF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льніков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С.Г.  </w:t>
      </w:r>
    </w:p>
    <w:p w14:paraId="2ABF160D" w14:textId="77777777" w:rsidR="00107467" w:rsidRDefault="00107467" w:rsidP="00C0569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Регулярно працює дільничний офіцер поліції, за викликом виїжджають слідчо-оперативні групи.</w:t>
      </w:r>
    </w:p>
    <w:p w14:paraId="7FBDC4DD" w14:textId="0815AD13" w:rsidR="00107467" w:rsidRDefault="00107467" w:rsidP="00C05697">
      <w:pPr>
        <w:shd w:val="clear" w:color="auto" w:fill="FFFFFF"/>
        <w:spacing w:after="0" w:line="27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Фінансування Програми здійснюється виключно за умови затвердження бюджетних призначень на її виконання</w:t>
      </w:r>
      <w:r w:rsidR="00AC13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137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розпорядженням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</w:t>
      </w:r>
      <w:r w:rsidR="00AC137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сільський бюджет на відповідний рік (</w:t>
      </w:r>
      <w:r w:rsidR="00AC137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розпорядженням (рішенням)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внесення змін до сільського бюджету на відповідний рік) згідно з розписом сільського бюджету.</w:t>
      </w:r>
    </w:p>
    <w:p w14:paraId="2E3651D1" w14:textId="77777777" w:rsidR="00107467" w:rsidRDefault="00107467" w:rsidP="00C05697">
      <w:pPr>
        <w:shd w:val="clear" w:color="auto" w:fill="FFFFFF"/>
        <w:spacing w:after="0" w:line="27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Розпорядником коштів на виконання Програми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Музиківська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рада.</w:t>
      </w:r>
    </w:p>
    <w:p w14:paraId="74ED7865" w14:textId="67A13098" w:rsidR="00107467" w:rsidRDefault="00107467" w:rsidP="00C05697">
      <w:pPr>
        <w:shd w:val="clear" w:color="auto" w:fill="FFFFFF"/>
        <w:spacing w:after="0" w:line="27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Обсяги фінансування Програми, протягом року можуть бути скореговані.</w:t>
      </w:r>
    </w:p>
    <w:p w14:paraId="337898ED" w14:textId="42B3E754" w:rsidR="00107467" w:rsidRDefault="00107467" w:rsidP="00C05697">
      <w:pPr>
        <w:shd w:val="clear" w:color="auto" w:fill="FFFFFF"/>
        <w:spacing w:after="0" w:line="278" w:lineRule="atLeast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EB51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Фінансування заходів програми відбувається згідно з додатком1.</w:t>
      </w:r>
      <w:r w:rsidR="00C0569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348F780B" w14:textId="77777777" w:rsidR="00107467" w:rsidRDefault="00107467" w:rsidP="00C05697">
      <w:pPr>
        <w:shd w:val="clear" w:color="auto" w:fill="FFFFFF"/>
        <w:spacing w:after="0" w:line="240" w:lineRule="auto"/>
        <w:ind w:right="57" w:firstLine="567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EFCFD75" w14:textId="77777777" w:rsidR="00107467" w:rsidRDefault="00107467" w:rsidP="00C05697">
      <w:pPr>
        <w:shd w:val="clear" w:color="auto" w:fill="FFFFFF"/>
        <w:spacing w:after="0" w:line="240" w:lineRule="auto"/>
        <w:ind w:right="57" w:firstLine="567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4A946BF0" w14:textId="77777777" w:rsidR="006A7358" w:rsidRPr="00107467" w:rsidRDefault="006A7358" w:rsidP="00C05697">
      <w:pPr>
        <w:ind w:firstLine="567"/>
        <w:rPr>
          <w:lang w:val="uk-UA"/>
        </w:rPr>
      </w:pPr>
    </w:p>
    <w:sectPr w:rsidR="006A7358" w:rsidRPr="00107467" w:rsidSect="00C0569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0815"/>
    <w:multiLevelType w:val="hybridMultilevel"/>
    <w:tmpl w:val="6C72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7750"/>
    <w:multiLevelType w:val="hybridMultilevel"/>
    <w:tmpl w:val="08448AEA"/>
    <w:lvl w:ilvl="0" w:tplc="0F42CD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9016DD"/>
    <w:multiLevelType w:val="hybridMultilevel"/>
    <w:tmpl w:val="C17E7246"/>
    <w:lvl w:ilvl="0" w:tplc="6C38358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2F00E74"/>
    <w:multiLevelType w:val="hybridMultilevel"/>
    <w:tmpl w:val="C390DD40"/>
    <w:lvl w:ilvl="0" w:tplc="D054DA14">
      <w:start w:val="6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631A2B0E"/>
    <w:multiLevelType w:val="hybridMultilevel"/>
    <w:tmpl w:val="C0CC0CDA"/>
    <w:lvl w:ilvl="0" w:tplc="46E29B08">
      <w:start w:val="1"/>
      <w:numFmt w:val="decimal"/>
      <w:lvlText w:val="%1."/>
      <w:lvlJc w:val="left"/>
      <w:pPr>
        <w:ind w:left="599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84F78A">
      <w:numFmt w:val="bullet"/>
      <w:lvlText w:val="•"/>
      <w:lvlJc w:val="left"/>
      <w:pPr>
        <w:ind w:left="1578" w:hanging="792"/>
      </w:pPr>
      <w:rPr>
        <w:rFonts w:hint="default"/>
        <w:lang w:val="uk-UA" w:eastAsia="en-US" w:bidi="ar-SA"/>
      </w:rPr>
    </w:lvl>
    <w:lvl w:ilvl="2" w:tplc="1F50B49A">
      <w:numFmt w:val="bullet"/>
      <w:lvlText w:val="•"/>
      <w:lvlJc w:val="left"/>
      <w:pPr>
        <w:ind w:left="2557" w:hanging="792"/>
      </w:pPr>
      <w:rPr>
        <w:rFonts w:hint="default"/>
        <w:lang w:val="uk-UA" w:eastAsia="en-US" w:bidi="ar-SA"/>
      </w:rPr>
    </w:lvl>
    <w:lvl w:ilvl="3" w:tplc="E6EA2F8E">
      <w:numFmt w:val="bullet"/>
      <w:lvlText w:val="•"/>
      <w:lvlJc w:val="left"/>
      <w:pPr>
        <w:ind w:left="3535" w:hanging="792"/>
      </w:pPr>
      <w:rPr>
        <w:rFonts w:hint="default"/>
        <w:lang w:val="uk-UA" w:eastAsia="en-US" w:bidi="ar-SA"/>
      </w:rPr>
    </w:lvl>
    <w:lvl w:ilvl="4" w:tplc="C51A130E">
      <w:numFmt w:val="bullet"/>
      <w:lvlText w:val="•"/>
      <w:lvlJc w:val="left"/>
      <w:pPr>
        <w:ind w:left="4514" w:hanging="792"/>
      </w:pPr>
      <w:rPr>
        <w:rFonts w:hint="default"/>
        <w:lang w:val="uk-UA" w:eastAsia="en-US" w:bidi="ar-SA"/>
      </w:rPr>
    </w:lvl>
    <w:lvl w:ilvl="5" w:tplc="77B8623C">
      <w:numFmt w:val="bullet"/>
      <w:lvlText w:val="•"/>
      <w:lvlJc w:val="left"/>
      <w:pPr>
        <w:ind w:left="5493" w:hanging="792"/>
      </w:pPr>
      <w:rPr>
        <w:rFonts w:hint="default"/>
        <w:lang w:val="uk-UA" w:eastAsia="en-US" w:bidi="ar-SA"/>
      </w:rPr>
    </w:lvl>
    <w:lvl w:ilvl="6" w:tplc="0E926654">
      <w:numFmt w:val="bullet"/>
      <w:lvlText w:val="•"/>
      <w:lvlJc w:val="left"/>
      <w:pPr>
        <w:ind w:left="6471" w:hanging="792"/>
      </w:pPr>
      <w:rPr>
        <w:rFonts w:hint="default"/>
        <w:lang w:val="uk-UA" w:eastAsia="en-US" w:bidi="ar-SA"/>
      </w:rPr>
    </w:lvl>
    <w:lvl w:ilvl="7" w:tplc="3D5C4D6A">
      <w:numFmt w:val="bullet"/>
      <w:lvlText w:val="•"/>
      <w:lvlJc w:val="left"/>
      <w:pPr>
        <w:ind w:left="7450" w:hanging="792"/>
      </w:pPr>
      <w:rPr>
        <w:rFonts w:hint="default"/>
        <w:lang w:val="uk-UA" w:eastAsia="en-US" w:bidi="ar-SA"/>
      </w:rPr>
    </w:lvl>
    <w:lvl w:ilvl="8" w:tplc="32740362">
      <w:numFmt w:val="bullet"/>
      <w:lvlText w:val="•"/>
      <w:lvlJc w:val="left"/>
      <w:pPr>
        <w:ind w:left="8429" w:hanging="792"/>
      </w:pPr>
      <w:rPr>
        <w:rFonts w:hint="default"/>
        <w:lang w:val="uk-UA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58"/>
    <w:rsid w:val="00003D5E"/>
    <w:rsid w:val="00076B37"/>
    <w:rsid w:val="00107467"/>
    <w:rsid w:val="001146BA"/>
    <w:rsid w:val="00124389"/>
    <w:rsid w:val="00140F46"/>
    <w:rsid w:val="001A6F95"/>
    <w:rsid w:val="001E7A32"/>
    <w:rsid w:val="002257FD"/>
    <w:rsid w:val="002328F6"/>
    <w:rsid w:val="00246177"/>
    <w:rsid w:val="002B0BD1"/>
    <w:rsid w:val="0032671D"/>
    <w:rsid w:val="0033224E"/>
    <w:rsid w:val="00351A3C"/>
    <w:rsid w:val="003A3124"/>
    <w:rsid w:val="003E4B21"/>
    <w:rsid w:val="003E721C"/>
    <w:rsid w:val="003F2AD8"/>
    <w:rsid w:val="00422BEF"/>
    <w:rsid w:val="00430225"/>
    <w:rsid w:val="005C5122"/>
    <w:rsid w:val="006058E7"/>
    <w:rsid w:val="006A7358"/>
    <w:rsid w:val="006D0BCF"/>
    <w:rsid w:val="006F1F7F"/>
    <w:rsid w:val="00704A4F"/>
    <w:rsid w:val="007076A0"/>
    <w:rsid w:val="007236C9"/>
    <w:rsid w:val="007F4A6B"/>
    <w:rsid w:val="00855275"/>
    <w:rsid w:val="008B2B7F"/>
    <w:rsid w:val="008D0375"/>
    <w:rsid w:val="00911A2A"/>
    <w:rsid w:val="009503DA"/>
    <w:rsid w:val="00993C0E"/>
    <w:rsid w:val="009C0BEE"/>
    <w:rsid w:val="00A078BB"/>
    <w:rsid w:val="00A50BF3"/>
    <w:rsid w:val="00AB69F1"/>
    <w:rsid w:val="00AC137F"/>
    <w:rsid w:val="00AE6A1D"/>
    <w:rsid w:val="00B267E9"/>
    <w:rsid w:val="00B279AD"/>
    <w:rsid w:val="00B35A31"/>
    <w:rsid w:val="00B572B5"/>
    <w:rsid w:val="00B66DF0"/>
    <w:rsid w:val="00C05697"/>
    <w:rsid w:val="00CA1C51"/>
    <w:rsid w:val="00D4746D"/>
    <w:rsid w:val="00D737C5"/>
    <w:rsid w:val="00D954EB"/>
    <w:rsid w:val="00DE6B8E"/>
    <w:rsid w:val="00E02869"/>
    <w:rsid w:val="00E12956"/>
    <w:rsid w:val="00E263D2"/>
    <w:rsid w:val="00E31040"/>
    <w:rsid w:val="00EB5134"/>
    <w:rsid w:val="00EF6343"/>
    <w:rsid w:val="00F115B2"/>
    <w:rsid w:val="00F9650E"/>
    <w:rsid w:val="00FF13B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B26"/>
  <w15:chartTrackingRefBased/>
  <w15:docId w15:val="{E9CEBFD3-8C07-41AA-AD72-DD3E7A0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67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46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1"/>
    <w:qFormat/>
    <w:rsid w:val="00107467"/>
    <w:pPr>
      <w:ind w:left="720"/>
    </w:pPr>
  </w:style>
  <w:style w:type="paragraph" w:customStyle="1" w:styleId="1">
    <w:name w:val="Абзац списка1"/>
    <w:basedOn w:val="a"/>
    <w:rsid w:val="00107467"/>
    <w:pPr>
      <w:ind w:left="720"/>
      <w:contextualSpacing/>
    </w:pPr>
    <w:rPr>
      <w:rFonts w:cs="Times New Roman"/>
      <w:lang w:val="uk-UA"/>
    </w:rPr>
  </w:style>
  <w:style w:type="table" w:styleId="a5">
    <w:name w:val="Table Grid"/>
    <w:basedOn w:val="a1"/>
    <w:uiPriority w:val="59"/>
    <w:rsid w:val="00107467"/>
    <w:pPr>
      <w:spacing w:after="0" w:line="240" w:lineRule="auto"/>
      <w:ind w:left="113" w:right="113"/>
      <w:jc w:val="center"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0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Body Text"/>
    <w:basedOn w:val="a"/>
    <w:link w:val="a9"/>
    <w:uiPriority w:val="1"/>
    <w:qFormat/>
    <w:rsid w:val="005C5122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5C5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63</cp:revision>
  <cp:lastPrinted>2023-03-14T09:28:00Z</cp:lastPrinted>
  <dcterms:created xsi:type="dcterms:W3CDTF">2023-03-14T06:34:00Z</dcterms:created>
  <dcterms:modified xsi:type="dcterms:W3CDTF">2023-06-27T13:03:00Z</dcterms:modified>
</cp:coreProperties>
</file>